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highlight w:val="none"/>
          <w:lang w:eastAsia="zh-CN"/>
        </w:rPr>
      </w:pPr>
      <w:r>
        <w:rPr>
          <w:rFonts w:hint="eastAsia" w:ascii="宋体" w:hAnsi="宋体"/>
          <w:b/>
          <w:sz w:val="32"/>
          <w:szCs w:val="32"/>
          <w:highlight w:val="none"/>
        </w:rPr>
        <w:t>东莞农村商业银行</w:t>
      </w:r>
      <w:r>
        <w:rPr>
          <w:rFonts w:hint="eastAsia" w:ascii="宋体" w:hAnsi="宋体"/>
          <w:b/>
          <w:sz w:val="32"/>
          <w:szCs w:val="32"/>
          <w:highlight w:val="none"/>
          <w:lang w:val="en-US" w:eastAsia="zh-CN"/>
        </w:rPr>
        <w:t>内部信用评级模型建设项目</w:t>
      </w:r>
    </w:p>
    <w:p>
      <w:pPr>
        <w:spacing w:line="360" w:lineRule="auto"/>
        <w:jc w:val="center"/>
        <w:rPr>
          <w:rFonts w:hint="eastAsia" w:ascii="宋体" w:hAnsi="宋体"/>
          <w:b/>
          <w:sz w:val="32"/>
          <w:szCs w:val="32"/>
          <w:highlight w:val="none"/>
        </w:rPr>
      </w:pPr>
      <w:r>
        <w:rPr>
          <w:rFonts w:hint="eastAsia" w:ascii="宋体" w:hAnsi="宋体"/>
          <w:b/>
          <w:sz w:val="32"/>
          <w:szCs w:val="32"/>
          <w:highlight w:val="none"/>
        </w:rPr>
        <w:t>市场调研项目需求</w:t>
      </w:r>
    </w:p>
    <w:p>
      <w:pPr>
        <w:spacing w:line="360" w:lineRule="auto"/>
        <w:rPr>
          <w:rFonts w:ascii="宋体" w:hAnsi="宋体"/>
          <w:b/>
          <w:szCs w:val="21"/>
          <w:highlight w:val="none"/>
        </w:rPr>
      </w:pPr>
    </w:p>
    <w:p>
      <w:pPr>
        <w:spacing w:line="360" w:lineRule="auto"/>
        <w:rPr>
          <w:rFonts w:ascii="宋体" w:hAnsi="宋体"/>
          <w:b/>
          <w:szCs w:val="21"/>
          <w:highlight w:val="none"/>
        </w:rPr>
      </w:pPr>
      <w:r>
        <w:rPr>
          <w:rFonts w:hint="eastAsia" w:ascii="宋体" w:hAnsi="宋体"/>
          <w:b/>
          <w:szCs w:val="21"/>
          <w:highlight w:val="none"/>
        </w:rPr>
        <w:t>一、项目信息</w:t>
      </w:r>
    </w:p>
    <w:p>
      <w:pPr>
        <w:widowControl/>
        <w:spacing w:line="360" w:lineRule="auto"/>
        <w:ind w:firstLine="420" w:firstLineChars="200"/>
        <w:rPr>
          <w:rFonts w:hint="eastAsia" w:ascii="宋体" w:hAnsi="宋体" w:eastAsia="宋体" w:cs="仿宋_GB2312"/>
          <w:bCs/>
          <w:szCs w:val="21"/>
          <w:highlight w:val="none"/>
          <w:lang w:eastAsia="zh-CN"/>
        </w:rPr>
      </w:pPr>
      <w:r>
        <w:rPr>
          <w:rFonts w:ascii="宋体" w:hAnsi="宋体" w:eastAsia="宋体" w:cs="仿宋_GB2312"/>
          <w:bCs/>
          <w:szCs w:val="21"/>
          <w:highlight w:val="none"/>
        </w:rPr>
        <w:t>项目名称：</w:t>
      </w:r>
      <w:r>
        <w:rPr>
          <w:rFonts w:hint="eastAsia" w:ascii="宋体" w:hAnsi="宋体" w:eastAsia="宋体" w:cs="仿宋_GB2312"/>
          <w:bCs/>
          <w:szCs w:val="21"/>
          <w:highlight w:val="none"/>
        </w:rPr>
        <w:t>东莞农村商业银行</w:t>
      </w:r>
      <w:r>
        <w:rPr>
          <w:rFonts w:hint="eastAsia" w:ascii="宋体" w:hAnsi="宋体" w:cs="仿宋_GB2312"/>
          <w:bCs/>
          <w:szCs w:val="21"/>
          <w:highlight w:val="none"/>
          <w:lang w:val="en-US" w:eastAsia="zh-CN"/>
        </w:rPr>
        <w:t>内部信用评级模型建设</w:t>
      </w:r>
      <w:r>
        <w:rPr>
          <w:rFonts w:hint="eastAsia" w:ascii="宋体" w:hAnsi="宋体" w:eastAsia="宋体" w:cs="仿宋_GB2312"/>
          <w:bCs/>
          <w:szCs w:val="21"/>
          <w:highlight w:val="none"/>
          <w:lang w:val="en-US" w:eastAsia="zh-CN"/>
        </w:rPr>
        <w:t>项目</w:t>
      </w:r>
    </w:p>
    <w:p>
      <w:pPr>
        <w:widowControl/>
        <w:spacing w:line="360" w:lineRule="auto"/>
        <w:ind w:firstLine="420" w:firstLineChars="200"/>
        <w:rPr>
          <w:rFonts w:ascii="宋体" w:hAnsi="宋体" w:eastAsia="宋体" w:cs="仿宋_GB2312"/>
          <w:bCs/>
          <w:szCs w:val="21"/>
          <w:highlight w:val="none"/>
        </w:rPr>
      </w:pPr>
      <w:r>
        <w:rPr>
          <w:rFonts w:hint="eastAsia" w:ascii="宋体" w:hAnsi="宋体" w:cs="仿宋_GB2312"/>
          <w:bCs/>
          <w:szCs w:val="21"/>
          <w:highlight w:val="none"/>
          <w:lang w:eastAsia="zh-CN"/>
        </w:rPr>
        <w:t>采购人</w:t>
      </w:r>
      <w:r>
        <w:rPr>
          <w:rFonts w:hint="eastAsia" w:ascii="宋体" w:hAnsi="宋体" w:eastAsia="宋体" w:cs="仿宋_GB2312"/>
          <w:bCs/>
          <w:szCs w:val="21"/>
          <w:highlight w:val="none"/>
        </w:rPr>
        <w:t>：东莞农村商业银行股份有限公司</w:t>
      </w:r>
    </w:p>
    <w:p>
      <w:pPr>
        <w:widowControl/>
        <w:spacing w:line="360" w:lineRule="auto"/>
        <w:ind w:firstLine="420" w:firstLineChars="200"/>
        <w:rPr>
          <w:rFonts w:ascii="宋体" w:hAnsi="宋体" w:eastAsia="宋体" w:cs="仿宋_GB2312"/>
          <w:bCs/>
          <w:szCs w:val="21"/>
          <w:highlight w:val="none"/>
        </w:rPr>
      </w:pPr>
      <w:r>
        <w:rPr>
          <w:rFonts w:ascii="宋体" w:hAnsi="宋体" w:eastAsia="宋体" w:cs="仿宋_GB2312"/>
          <w:bCs/>
          <w:szCs w:val="21"/>
          <w:highlight w:val="none"/>
        </w:rPr>
        <w:t>项目</w:t>
      </w:r>
      <w:r>
        <w:rPr>
          <w:rFonts w:hint="eastAsia" w:ascii="宋体" w:hAnsi="宋体" w:eastAsia="宋体" w:cs="仿宋_GB2312"/>
          <w:bCs/>
          <w:szCs w:val="21"/>
          <w:highlight w:val="none"/>
        </w:rPr>
        <w:t>概算</w:t>
      </w:r>
      <w:r>
        <w:rPr>
          <w:rFonts w:ascii="宋体" w:hAnsi="宋体" w:eastAsia="宋体" w:cs="仿宋_GB2312"/>
          <w:bCs/>
          <w:szCs w:val="21"/>
          <w:highlight w:val="none"/>
        </w:rPr>
        <w:t>：</w:t>
      </w:r>
      <w:r>
        <w:rPr>
          <w:rFonts w:hint="eastAsia" w:ascii="宋体" w:hAnsi="宋体" w:eastAsia="宋体" w:cs="仿宋_GB2312"/>
          <w:bCs/>
          <w:szCs w:val="21"/>
          <w:highlight w:val="none"/>
        </w:rPr>
        <w:t>待定。</w:t>
      </w:r>
    </w:p>
    <w:p>
      <w:pPr>
        <w:widowControl/>
        <w:spacing w:line="360" w:lineRule="auto"/>
        <w:ind w:firstLine="420" w:firstLineChars="200"/>
        <w:rPr>
          <w:rFonts w:ascii="宋体" w:hAnsi="宋体" w:eastAsia="宋体" w:cs="仿宋_GB2312"/>
          <w:bCs/>
          <w:szCs w:val="21"/>
          <w:highlight w:val="none"/>
        </w:rPr>
      </w:pPr>
      <w:r>
        <w:rPr>
          <w:rFonts w:hint="eastAsia" w:ascii="宋体" w:hAnsi="宋体" w:eastAsia="宋体" w:cs="仿宋_GB2312"/>
          <w:bCs/>
          <w:szCs w:val="21"/>
          <w:highlight w:val="none"/>
        </w:rPr>
        <w:t>项目预计采购时间：202</w:t>
      </w:r>
      <w:r>
        <w:rPr>
          <w:rFonts w:hint="eastAsia" w:ascii="宋体" w:hAnsi="宋体" w:cs="仿宋_GB2312"/>
          <w:bCs/>
          <w:szCs w:val="21"/>
          <w:highlight w:val="none"/>
          <w:lang w:val="en-US" w:eastAsia="zh-CN"/>
        </w:rPr>
        <w:t>5</w:t>
      </w:r>
      <w:r>
        <w:rPr>
          <w:rFonts w:hint="eastAsia" w:ascii="宋体" w:hAnsi="宋体" w:eastAsia="宋体" w:cs="仿宋_GB2312"/>
          <w:bCs/>
          <w:szCs w:val="21"/>
          <w:highlight w:val="none"/>
        </w:rPr>
        <w:t>年</w:t>
      </w:r>
      <w:r>
        <w:rPr>
          <w:rFonts w:hint="eastAsia" w:ascii="宋体" w:hAnsi="宋体" w:cs="仿宋_GB2312"/>
          <w:bCs/>
          <w:szCs w:val="21"/>
          <w:highlight w:val="none"/>
          <w:lang w:val="en-US" w:eastAsia="zh-CN"/>
        </w:rPr>
        <w:t>8</w:t>
      </w:r>
      <w:r>
        <w:rPr>
          <w:rFonts w:hint="eastAsia" w:ascii="宋体" w:hAnsi="宋体" w:eastAsia="宋体" w:cs="仿宋_GB2312"/>
          <w:bCs/>
          <w:szCs w:val="21"/>
          <w:highlight w:val="none"/>
        </w:rPr>
        <w:t>月</w:t>
      </w:r>
    </w:p>
    <w:p>
      <w:pPr>
        <w:widowControl/>
        <w:spacing w:line="360" w:lineRule="auto"/>
        <w:ind w:firstLine="420" w:firstLineChars="200"/>
        <w:rPr>
          <w:rFonts w:hint="eastAsia" w:ascii="宋体" w:hAnsi="宋体" w:eastAsia="宋体" w:cs="仿宋_GB2312"/>
          <w:bCs/>
          <w:szCs w:val="21"/>
          <w:highlight w:val="none"/>
          <w:lang w:val="en-US" w:eastAsia="zh-CN"/>
        </w:rPr>
      </w:pPr>
      <w:r>
        <w:rPr>
          <w:rFonts w:hint="eastAsia" w:ascii="宋体" w:hAnsi="宋体" w:eastAsia="宋体" w:cs="仿宋_GB2312"/>
          <w:bCs/>
          <w:szCs w:val="21"/>
          <w:highlight w:val="none"/>
        </w:rPr>
        <w:t>项目工期要求：项目总工期</w:t>
      </w:r>
      <w:r>
        <w:rPr>
          <w:rFonts w:hint="eastAsia" w:ascii="宋体" w:hAnsi="宋体" w:cs="仿宋_GB2312"/>
          <w:bCs/>
          <w:szCs w:val="21"/>
          <w:highlight w:val="none"/>
          <w:lang w:val="en-US" w:eastAsia="zh-CN"/>
        </w:rPr>
        <w:t>10</w:t>
      </w:r>
      <w:r>
        <w:rPr>
          <w:rFonts w:hint="eastAsia" w:ascii="宋体" w:hAnsi="宋体" w:eastAsia="宋体" w:cs="仿宋_GB2312"/>
          <w:bCs/>
          <w:szCs w:val="21"/>
          <w:highlight w:val="none"/>
        </w:rPr>
        <w:t>个月</w:t>
      </w:r>
      <w:r>
        <w:rPr>
          <w:rFonts w:hint="eastAsia" w:ascii="宋体" w:hAnsi="宋体" w:cs="仿宋_GB2312"/>
          <w:bCs/>
          <w:szCs w:val="21"/>
          <w:highlight w:val="none"/>
          <w:lang w:val="en-US" w:eastAsia="zh-CN"/>
        </w:rPr>
        <w:t>左右</w:t>
      </w:r>
    </w:p>
    <w:p>
      <w:pPr>
        <w:widowControl/>
        <w:spacing w:line="360" w:lineRule="auto"/>
        <w:ind w:firstLine="420" w:firstLineChars="200"/>
        <w:rPr>
          <w:rFonts w:ascii="宋体" w:hAnsi="宋体" w:eastAsia="宋体" w:cs="仿宋_GB2312"/>
          <w:bCs/>
          <w:szCs w:val="21"/>
          <w:highlight w:val="none"/>
        </w:rPr>
      </w:pPr>
      <w:r>
        <w:rPr>
          <w:rFonts w:hint="eastAsia" w:ascii="宋体" w:hAnsi="宋体" w:eastAsia="宋体" w:cs="仿宋_GB2312"/>
          <w:bCs/>
          <w:szCs w:val="21"/>
          <w:highlight w:val="none"/>
        </w:rPr>
        <w:t>注意：本次公告属于项目市场调研需求，上述项目概算、预计采购时间只是公告方根据自身计划所作估计，并不代表后续任何实质性承诺；另外，本次项目需求调研，属于公告方对外寻找相关符合要求的供应商进行交流的意向，并不代表公告方对报名供应商的任何承诺，后续公告方将根据自身计划进行项目采购。报名供应商或后续参与交流的供应商并不代表已获得公告方的认可或获得任何参与后续项目投标、合同方面的承诺。本次项目调研公告方将根据报名供应商提交的资料情况，择优选择供应商进行现场或线上交流。</w:t>
      </w:r>
    </w:p>
    <w:p>
      <w:pPr>
        <w:spacing w:line="360" w:lineRule="auto"/>
        <w:rPr>
          <w:rFonts w:ascii="宋体" w:hAnsi="宋体"/>
          <w:b/>
          <w:szCs w:val="21"/>
          <w:highlight w:val="none"/>
        </w:rPr>
      </w:pPr>
      <w:r>
        <w:rPr>
          <w:rFonts w:hint="eastAsia" w:ascii="宋体" w:hAnsi="宋体"/>
          <w:b/>
          <w:szCs w:val="21"/>
          <w:highlight w:val="none"/>
        </w:rPr>
        <w:t>二</w:t>
      </w:r>
      <w:r>
        <w:rPr>
          <w:rFonts w:ascii="宋体" w:hAnsi="宋体"/>
          <w:b/>
          <w:szCs w:val="21"/>
          <w:highlight w:val="none"/>
        </w:rPr>
        <w:t>、</w:t>
      </w:r>
      <w:r>
        <w:rPr>
          <w:rFonts w:hint="eastAsia" w:ascii="宋体" w:hAnsi="宋体"/>
          <w:b/>
          <w:szCs w:val="21"/>
          <w:highlight w:val="none"/>
        </w:rPr>
        <w:t>项目背景</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东莞农商银行作为服务地方经济的主力金融机构，始终</w:t>
      </w:r>
      <w:r>
        <w:rPr>
          <w:rFonts w:hint="default" w:ascii="宋体" w:hAnsi="宋体" w:eastAsia="宋体" w:cs="宋体"/>
          <w:szCs w:val="21"/>
          <w:highlight w:val="none"/>
          <w:lang w:val="en-US" w:eastAsia="zh-CN"/>
        </w:rPr>
        <w:t>围绕“风险驱动+风险赋能”风险管理体系建设主线，</w:t>
      </w:r>
      <w:r>
        <w:rPr>
          <w:rFonts w:hint="eastAsia" w:ascii="宋体" w:hAnsi="宋体" w:eastAsia="宋体" w:cs="宋体"/>
          <w:szCs w:val="21"/>
          <w:highlight w:val="none"/>
          <w:lang w:val="en-US" w:eastAsia="zh-CN"/>
        </w:rPr>
        <w:t>推动业务高质量发展。</w:t>
      </w:r>
      <w:r>
        <w:rPr>
          <w:rFonts w:hint="eastAsia" w:ascii="宋体" w:hAnsi="宋体" w:cs="宋体"/>
          <w:szCs w:val="21"/>
          <w:highlight w:val="none"/>
          <w:lang w:val="en-US" w:eastAsia="zh-CN"/>
        </w:rPr>
        <w:t>目前我行零售客户、非零售信贷客户、资金业务等非信贷客户内部信用评级体系已运行多年，亟需更新</w:t>
      </w:r>
      <w:r>
        <w:rPr>
          <w:rFonts w:hint="eastAsia" w:ascii="宋体" w:hAnsi="宋体" w:eastAsia="宋体" w:cs="宋体"/>
          <w:szCs w:val="21"/>
          <w:highlight w:val="none"/>
          <w:lang w:val="en-US" w:eastAsia="zh-CN"/>
        </w:rPr>
        <w:t>。为进一步提升全流程风险管理能力，我行拟开展</w:t>
      </w:r>
      <w:r>
        <w:rPr>
          <w:rFonts w:hint="eastAsia" w:ascii="宋体" w:hAnsi="宋体" w:cs="宋体"/>
          <w:szCs w:val="21"/>
          <w:highlight w:val="none"/>
          <w:lang w:val="en-US" w:eastAsia="zh-CN"/>
        </w:rPr>
        <w:t>内部信用评级模型建设</w:t>
      </w:r>
      <w:r>
        <w:rPr>
          <w:rFonts w:hint="eastAsia" w:ascii="宋体" w:hAnsi="宋体" w:eastAsia="宋体" w:cs="宋体"/>
          <w:szCs w:val="21"/>
          <w:highlight w:val="none"/>
          <w:lang w:val="en-US" w:eastAsia="zh-CN"/>
        </w:rPr>
        <w:t>项目，通过引入先进</w:t>
      </w:r>
      <w:r>
        <w:rPr>
          <w:rFonts w:hint="eastAsia" w:ascii="宋体" w:hAnsi="宋体" w:cs="宋体"/>
          <w:szCs w:val="21"/>
          <w:highlight w:val="none"/>
          <w:lang w:val="en-US" w:eastAsia="zh-CN"/>
        </w:rPr>
        <w:t>模型</w:t>
      </w:r>
      <w:r>
        <w:rPr>
          <w:rFonts w:hint="eastAsia" w:ascii="宋体" w:hAnsi="宋体" w:eastAsia="宋体" w:cs="宋体"/>
          <w:szCs w:val="21"/>
          <w:highlight w:val="none"/>
          <w:lang w:val="en-US" w:eastAsia="zh-CN"/>
        </w:rPr>
        <w:t>与管理经验，</w:t>
      </w:r>
      <w:r>
        <w:rPr>
          <w:rFonts w:hint="eastAsia" w:ascii="宋体" w:hAnsi="宋体" w:cs="宋体"/>
          <w:szCs w:val="21"/>
          <w:highlight w:val="none"/>
          <w:lang w:val="en-US" w:eastAsia="zh-CN"/>
        </w:rPr>
        <w:t>优化</w:t>
      </w:r>
      <w:r>
        <w:rPr>
          <w:rFonts w:hint="eastAsia" w:ascii="宋体" w:hAnsi="宋体" w:eastAsia="宋体" w:cs="宋体"/>
          <w:szCs w:val="21"/>
          <w:highlight w:val="none"/>
          <w:lang w:val="en-US" w:eastAsia="zh-CN"/>
        </w:rPr>
        <w:t>完善</w:t>
      </w:r>
      <w:r>
        <w:rPr>
          <w:rFonts w:hint="eastAsia" w:ascii="宋体" w:hAnsi="宋体" w:cs="宋体"/>
          <w:szCs w:val="21"/>
          <w:highlight w:val="none"/>
          <w:lang w:val="en-US" w:eastAsia="zh-CN"/>
        </w:rPr>
        <w:t>我行内评体系</w:t>
      </w:r>
      <w:r>
        <w:rPr>
          <w:rFonts w:hint="eastAsia" w:ascii="宋体" w:hAnsi="宋体" w:eastAsia="宋体" w:cs="宋体"/>
          <w:szCs w:val="21"/>
          <w:highlight w:val="none"/>
          <w:lang w:val="en-US" w:eastAsia="zh-CN"/>
        </w:rPr>
        <w:t>，保障</w:t>
      </w:r>
      <w:r>
        <w:rPr>
          <w:rFonts w:hint="eastAsia" w:ascii="宋体" w:hAnsi="宋体" w:cs="宋体"/>
          <w:szCs w:val="21"/>
          <w:highlight w:val="none"/>
          <w:lang w:val="en-US" w:eastAsia="zh-CN"/>
        </w:rPr>
        <w:t>我行</w:t>
      </w:r>
      <w:r>
        <w:rPr>
          <w:rFonts w:hint="eastAsia" w:ascii="宋体" w:hAnsi="宋体" w:eastAsia="宋体" w:cs="宋体"/>
          <w:szCs w:val="21"/>
          <w:highlight w:val="none"/>
          <w:lang w:val="en-US" w:eastAsia="zh-CN"/>
        </w:rPr>
        <w:t>资产质量稳健运行</w:t>
      </w:r>
      <w:r>
        <w:rPr>
          <w:rFonts w:hint="eastAsia" w:ascii="宋体" w:hAnsi="宋体" w:cs="宋体"/>
          <w:szCs w:val="21"/>
          <w:highlight w:val="none"/>
          <w:lang w:val="en-US" w:eastAsia="zh-CN"/>
        </w:rPr>
        <w:t>；同时，满足新资本协议第一支柱信用风险内部评级办法及监管部门相关指引要求，契合我行实际，满足我行业务发展升级，提升经营管理能力、风险管理水平以及核心竞争力的需要</w:t>
      </w:r>
      <w:r>
        <w:rPr>
          <w:rFonts w:hint="eastAsia" w:ascii="宋体" w:hAnsi="宋体" w:eastAsia="宋体" w:cs="宋体"/>
          <w:szCs w:val="21"/>
          <w:highlight w:val="none"/>
          <w:lang w:val="en-US" w:eastAsia="zh-CN"/>
        </w:rPr>
        <w:t>。现欢迎愿意参加本项目市场调研的潜在供应商（本次项目需求的供应商指具备</w:t>
      </w:r>
      <w:r>
        <w:rPr>
          <w:rFonts w:hint="eastAsia" w:ascii="宋体" w:hAnsi="宋体" w:cs="宋体"/>
          <w:szCs w:val="21"/>
          <w:highlight w:val="none"/>
          <w:lang w:val="en-US" w:eastAsia="zh-CN"/>
        </w:rPr>
        <w:t>内部信用评级模型建设</w:t>
      </w:r>
      <w:r>
        <w:rPr>
          <w:rFonts w:hint="eastAsia" w:ascii="宋体" w:hAnsi="宋体" w:eastAsia="宋体" w:cs="宋体"/>
          <w:szCs w:val="21"/>
          <w:highlight w:val="none"/>
          <w:lang w:val="en-US" w:eastAsia="zh-CN"/>
        </w:rPr>
        <w:t>能力的供应商），提供市场调研资料。</w:t>
      </w:r>
    </w:p>
    <w:p>
      <w:pPr>
        <w:spacing w:line="360" w:lineRule="auto"/>
        <w:rPr>
          <w:rFonts w:ascii="宋体" w:hAnsi="宋体"/>
          <w:b/>
          <w:bCs/>
          <w:szCs w:val="21"/>
          <w:highlight w:val="none"/>
        </w:rPr>
      </w:pPr>
      <w:r>
        <w:rPr>
          <w:rFonts w:hint="eastAsia" w:ascii="宋体" w:hAnsi="宋体"/>
          <w:b/>
          <w:szCs w:val="21"/>
          <w:highlight w:val="none"/>
        </w:rPr>
        <w:t>三</w:t>
      </w:r>
      <w:r>
        <w:rPr>
          <w:rFonts w:ascii="宋体" w:hAnsi="宋体"/>
          <w:b/>
          <w:szCs w:val="21"/>
          <w:highlight w:val="none"/>
        </w:rPr>
        <w:t>、</w:t>
      </w:r>
      <w:r>
        <w:rPr>
          <w:rFonts w:hint="eastAsia" w:ascii="宋体" w:hAnsi="宋体"/>
          <w:b/>
          <w:bCs/>
          <w:szCs w:val="21"/>
          <w:highlight w:val="none"/>
        </w:rPr>
        <w:t>调研内容</w:t>
      </w:r>
    </w:p>
    <w:p>
      <w:pPr>
        <w:spacing w:line="360" w:lineRule="auto"/>
        <w:ind w:firstLine="422" w:firstLineChars="200"/>
        <w:rPr>
          <w:rFonts w:ascii="宋体" w:hAnsi="宋体" w:eastAsia="宋体" w:cs="楷体_GB2312"/>
          <w:b/>
          <w:bCs/>
          <w:kern w:val="28"/>
          <w:szCs w:val="21"/>
          <w:highlight w:val="none"/>
        </w:rPr>
      </w:pPr>
      <w:r>
        <w:rPr>
          <w:rFonts w:hint="eastAsia" w:ascii="宋体" w:hAnsi="宋体" w:eastAsia="宋体" w:cs="楷体_GB2312"/>
          <w:b/>
          <w:bCs/>
          <w:kern w:val="28"/>
          <w:szCs w:val="21"/>
          <w:highlight w:val="none"/>
        </w:rPr>
        <w:t>（一）项目需求</w:t>
      </w:r>
    </w:p>
    <w:tbl>
      <w:tblPr>
        <w:tblStyle w:val="12"/>
        <w:tblW w:w="9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7"/>
        <w:gridCol w:w="1278"/>
        <w:gridCol w:w="7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需求类别</w:t>
            </w:r>
          </w:p>
        </w:tc>
        <w:tc>
          <w:tcPr>
            <w:tcW w:w="7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需求内容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both"/>
              <w:rPr>
                <w:rFonts w:hint="eastAsia" w:ascii="宋体" w:hAnsi="宋体" w:eastAsia="宋体" w:cs="宋体"/>
                <w:szCs w:val="21"/>
                <w:highlight w:val="none"/>
                <w:lang w:val="en-US" w:eastAsia="zh-CN"/>
              </w:rPr>
            </w:pPr>
          </w:p>
          <w:p>
            <w:pPr>
              <w:spacing w:line="360" w:lineRule="auto"/>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现状分析</w:t>
            </w:r>
          </w:p>
          <w:p>
            <w:pPr>
              <w:spacing w:line="360" w:lineRule="auto"/>
              <w:ind w:firstLine="420" w:firstLineChars="200"/>
              <w:jc w:val="center"/>
              <w:rPr>
                <w:rFonts w:hint="default" w:ascii="宋体" w:hAnsi="宋体" w:eastAsia="宋体" w:cs="宋体"/>
                <w:szCs w:val="21"/>
                <w:highlight w:val="none"/>
                <w:lang w:val="en-US" w:eastAsia="zh-CN"/>
              </w:rPr>
            </w:pPr>
          </w:p>
        </w:tc>
        <w:tc>
          <w:tcPr>
            <w:tcW w:w="78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针对我行</w:t>
            </w:r>
            <w:r>
              <w:rPr>
                <w:rFonts w:hint="eastAsia" w:ascii="宋体" w:hAnsi="宋体" w:cs="宋体"/>
                <w:szCs w:val="21"/>
                <w:highlight w:val="none"/>
                <w:lang w:val="en-US" w:eastAsia="zh-CN"/>
              </w:rPr>
              <w:t>零售客户、非零售客户、资金业务等非信贷客户对应</w:t>
            </w:r>
            <w:r>
              <w:rPr>
                <w:rFonts w:hint="eastAsia" w:ascii="宋体" w:hAnsi="宋体" w:eastAsia="宋体" w:cs="宋体"/>
                <w:szCs w:val="21"/>
                <w:highlight w:val="none"/>
                <w:lang w:val="en-US" w:eastAsia="zh-CN"/>
              </w:rPr>
              <w:t>的</w:t>
            </w:r>
            <w:r>
              <w:rPr>
                <w:rFonts w:hint="eastAsia" w:ascii="宋体" w:hAnsi="宋体" w:cs="宋体"/>
                <w:szCs w:val="21"/>
                <w:highlight w:val="none"/>
                <w:lang w:val="en-US" w:eastAsia="zh-CN"/>
              </w:rPr>
              <w:t>业务</w:t>
            </w:r>
            <w:r>
              <w:rPr>
                <w:rFonts w:hint="eastAsia" w:ascii="宋体" w:hAnsi="宋体" w:eastAsia="宋体" w:cs="宋体"/>
                <w:szCs w:val="21"/>
                <w:highlight w:val="none"/>
                <w:lang w:val="en-US" w:eastAsia="zh-CN"/>
              </w:rPr>
              <w:t>特点及客群特性，梳理行内现有</w:t>
            </w:r>
            <w:r>
              <w:rPr>
                <w:rFonts w:hint="eastAsia" w:ascii="宋体" w:hAnsi="宋体" w:cs="宋体"/>
                <w:szCs w:val="21"/>
                <w:highlight w:val="none"/>
                <w:lang w:val="en-US" w:eastAsia="zh-CN"/>
              </w:rPr>
              <w:t>内评模型体系</w:t>
            </w:r>
            <w:r>
              <w:rPr>
                <w:rFonts w:hint="eastAsia" w:ascii="宋体" w:hAnsi="宋体" w:eastAsia="宋体" w:cs="宋体"/>
                <w:szCs w:val="21"/>
                <w:highlight w:val="none"/>
                <w:lang w:val="en-US" w:eastAsia="zh-CN"/>
              </w:rPr>
              <w:t>，分析</w:t>
            </w:r>
            <w:r>
              <w:rPr>
                <w:rFonts w:hint="eastAsia" w:ascii="宋体" w:hAnsi="宋体" w:cs="宋体"/>
                <w:szCs w:val="21"/>
                <w:highlight w:val="none"/>
                <w:lang w:val="en-US" w:eastAsia="zh-CN"/>
              </w:rPr>
              <w:t>现有模型</w:t>
            </w:r>
            <w:r>
              <w:rPr>
                <w:rFonts w:hint="eastAsia" w:ascii="宋体" w:hAnsi="宋体" w:eastAsia="宋体" w:cs="宋体"/>
                <w:szCs w:val="21"/>
                <w:highlight w:val="none"/>
                <w:lang w:val="en-US" w:eastAsia="zh-CN"/>
              </w:rPr>
              <w:t>运行效果，完成差距分析并形成相关</w:t>
            </w:r>
            <w:r>
              <w:rPr>
                <w:rFonts w:hint="eastAsia" w:ascii="宋体" w:hAnsi="宋体" w:cs="宋体"/>
                <w:szCs w:val="21"/>
                <w:highlight w:val="none"/>
                <w:lang w:val="en-US" w:eastAsia="zh-CN"/>
              </w:rPr>
              <w:t>模型优化建设</w:t>
            </w:r>
            <w:r>
              <w:rPr>
                <w:rFonts w:hint="eastAsia" w:ascii="宋体" w:hAnsi="宋体" w:eastAsia="宋体" w:cs="宋体"/>
                <w:szCs w:val="21"/>
                <w:highlight w:val="none"/>
                <w:lang w:val="en-US" w:eastAsia="zh-CN"/>
              </w:rPr>
              <w:t>报告，为后续改进提供方向。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零售客户内部信用评级模型</w:t>
            </w:r>
            <w:r>
              <w:rPr>
                <w:rFonts w:hint="eastAsia" w:ascii="宋体" w:hAnsi="宋体" w:eastAsia="宋体" w:cs="宋体"/>
                <w:szCs w:val="21"/>
                <w:highlight w:val="none"/>
                <w:lang w:val="en-US" w:eastAsia="zh-CN"/>
              </w:rPr>
              <w:t>建设</w:t>
            </w:r>
          </w:p>
          <w:p>
            <w:pPr>
              <w:spacing w:line="360" w:lineRule="auto"/>
              <w:ind w:firstLine="420" w:firstLineChars="200"/>
              <w:jc w:val="center"/>
              <w:rPr>
                <w:rFonts w:hint="default" w:ascii="宋体" w:hAnsi="宋体" w:eastAsia="宋体" w:cs="宋体"/>
                <w:szCs w:val="21"/>
                <w:highlight w:val="none"/>
                <w:lang w:val="en-US" w:eastAsia="zh-CN"/>
              </w:rPr>
            </w:pPr>
          </w:p>
        </w:tc>
        <w:tc>
          <w:tcPr>
            <w:tcW w:w="7860" w:type="dxa"/>
            <w:tcBorders>
              <w:top w:val="single" w:color="000000" w:sz="4" w:space="0"/>
              <w:left w:val="single" w:color="000000" w:sz="4" w:space="0"/>
              <w:bottom w:val="single" w:color="000000" w:sz="4" w:space="0"/>
              <w:right w:val="single" w:color="000000" w:sz="4" w:space="0"/>
            </w:tcBorders>
            <w:noWrap w:val="0"/>
            <w:vAlign w:val="center"/>
          </w:tcPr>
          <w:p>
            <w:pPr>
              <w:pStyle w:val="3"/>
              <w:numPr>
                <w:ilvl w:val="-1"/>
                <w:numId w:val="0"/>
              </w:numPr>
              <w:ind w:firstLine="420" w:firstLineChars="200"/>
              <w:rPr>
                <w:rFonts w:hint="eastAsia"/>
                <w:lang w:val="en-US" w:eastAsia="zh-CN"/>
              </w:rPr>
            </w:pPr>
            <w:r>
              <w:rPr>
                <w:rFonts w:hint="eastAsia"/>
                <w:lang w:val="en-US" w:eastAsia="zh-CN"/>
              </w:rPr>
              <w:t>通过数据分析手段以及使用专家经验，针对我行零售客户，提供统一的内部信用评级模型建设方案，设计和完善我行零售客户内部评级的治理架构及相关制度体系。主要包括以下几个方面：</w:t>
            </w:r>
          </w:p>
          <w:p>
            <w:pPr>
              <w:pStyle w:val="3"/>
              <w:numPr>
                <w:ilvl w:val="-1"/>
                <w:numId w:val="0"/>
              </w:numPr>
              <w:bidi w:val="0"/>
              <w:ind w:firstLine="420" w:firstLineChars="200"/>
              <w:rPr>
                <w:rFonts w:hint="eastAsia"/>
                <w:lang w:val="en-US" w:eastAsia="zh-CN"/>
              </w:rPr>
            </w:pPr>
            <w:r>
              <w:rPr>
                <w:rFonts w:hint="eastAsia"/>
                <w:lang w:val="en-US" w:eastAsia="zh-CN"/>
              </w:rPr>
              <w:t>1.</w:t>
            </w:r>
            <w:bookmarkStart w:id="0" w:name="_GoBack"/>
            <w:bookmarkEnd w:id="0"/>
            <w:r>
              <w:rPr>
                <w:rFonts w:hint="eastAsia"/>
                <w:lang w:val="en-US" w:eastAsia="zh-CN"/>
              </w:rPr>
              <w:t>数据现状分析与治理：针对评级模型所使用到的内外部数据进行数据分析，完成相关差距分析报告与治理方案。</w:t>
            </w:r>
          </w:p>
          <w:p>
            <w:pPr>
              <w:pStyle w:val="3"/>
              <w:numPr>
                <w:ilvl w:val="-1"/>
                <w:numId w:val="0"/>
              </w:numPr>
              <w:bidi w:val="0"/>
              <w:ind w:firstLine="420" w:firstLineChars="200"/>
              <w:rPr>
                <w:rFonts w:hint="default"/>
                <w:lang w:val="en-US" w:eastAsia="zh-CN"/>
              </w:rPr>
            </w:pPr>
            <w:r>
              <w:rPr>
                <w:rFonts w:hint="eastAsia"/>
                <w:lang w:val="en-US" w:eastAsia="zh-CN"/>
              </w:rPr>
              <w:t>2.模型建设：使用行业先进技术经验，建设满足我行业务实际的零售客户内部信用评级模型，并形成相关文档。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非零售客户信用评级</w:t>
            </w:r>
            <w:r>
              <w:rPr>
                <w:rFonts w:hint="eastAsia" w:ascii="宋体" w:hAnsi="宋体" w:eastAsia="宋体" w:cs="宋体"/>
                <w:szCs w:val="21"/>
                <w:highlight w:val="none"/>
                <w:lang w:val="en-US" w:eastAsia="zh-CN"/>
              </w:rPr>
              <w:t>模型建设</w:t>
            </w:r>
          </w:p>
        </w:tc>
        <w:tc>
          <w:tcPr>
            <w:tcW w:w="7860" w:type="dxa"/>
            <w:tcBorders>
              <w:top w:val="single" w:color="000000" w:sz="4" w:space="0"/>
              <w:left w:val="single" w:color="000000" w:sz="4" w:space="0"/>
              <w:bottom w:val="single" w:color="000000" w:sz="4" w:space="0"/>
              <w:right w:val="single" w:color="000000" w:sz="4" w:space="0"/>
            </w:tcBorders>
            <w:noWrap w:val="0"/>
            <w:vAlign w:val="center"/>
          </w:tcPr>
          <w:p>
            <w:pPr>
              <w:pStyle w:val="3"/>
              <w:numPr>
                <w:numId w:val="0"/>
              </w:numPr>
              <w:ind w:firstLine="0" w:firstLineChars="0"/>
              <w:rPr>
                <w:rFonts w:hint="eastAsia"/>
                <w:lang w:val="en-US" w:eastAsia="zh-CN"/>
              </w:rPr>
            </w:pPr>
            <w:r>
              <w:rPr>
                <w:rFonts w:hint="eastAsia"/>
                <w:lang w:val="en-US" w:eastAsia="zh-CN"/>
              </w:rPr>
              <w:t>通过数据分析手段以及使用专家经验，针对我行非零售信贷客户，提供统一的内部信用评级模型建设方案，设计和完善我行非零售信贷客户内部评级的治理架构及相关制度体系。主要包括以下几个方面：</w:t>
            </w:r>
          </w:p>
          <w:p>
            <w:pPr>
              <w:pStyle w:val="3"/>
              <w:numPr>
                <w:ilvl w:val="-1"/>
                <w:numId w:val="0"/>
              </w:numPr>
              <w:bidi w:val="0"/>
              <w:ind w:firstLine="420" w:firstLineChars="200"/>
              <w:rPr>
                <w:rFonts w:hint="eastAsia"/>
                <w:lang w:val="en-US" w:eastAsia="zh-CN"/>
              </w:rPr>
            </w:pPr>
            <w:r>
              <w:rPr>
                <w:rFonts w:hint="eastAsia"/>
                <w:lang w:val="en-US" w:eastAsia="zh-CN"/>
              </w:rPr>
              <w:t>1.数据现状分析与治理：针对评级模型所使用到的内外部数据进行数据分析，完成相关差距分析报告与治理方案。</w:t>
            </w:r>
          </w:p>
          <w:p>
            <w:pPr>
              <w:pStyle w:val="3"/>
              <w:numPr>
                <w:numId w:val="0"/>
              </w:numPr>
              <w:ind w:firstLine="420" w:firstLineChars="200"/>
              <w:rPr>
                <w:rFonts w:hint="eastAsia" w:ascii="宋体" w:hAnsi="宋体" w:eastAsia="宋体" w:cs="宋体"/>
                <w:szCs w:val="21"/>
                <w:highlight w:val="none"/>
                <w:lang w:val="en-US" w:eastAsia="zh-CN"/>
              </w:rPr>
            </w:pPr>
            <w:r>
              <w:rPr>
                <w:rFonts w:hint="eastAsia"/>
                <w:lang w:val="en-US" w:eastAsia="zh-CN"/>
              </w:rPr>
              <w:t>2.模型建设：使用行业先进技术经验，建设满足我行业务实际的非零售客户内部信用评级模型，并形成相关文档。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资金业务等非信贷客户评级模型建设</w:t>
            </w:r>
          </w:p>
        </w:tc>
        <w:tc>
          <w:tcPr>
            <w:tcW w:w="78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提供同业经验，完善我行资金业务等非信贷客户评级模型，并针对同一客户同时存在信贷、非信贷业务时面临的评级结果不同的问题提出解决方案。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12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评级</w:t>
            </w:r>
            <w:r>
              <w:rPr>
                <w:rFonts w:hint="eastAsia" w:ascii="宋体" w:hAnsi="宋体" w:eastAsia="宋体" w:cs="宋体"/>
                <w:szCs w:val="21"/>
                <w:highlight w:val="none"/>
                <w:lang w:val="en-US" w:eastAsia="zh-CN"/>
              </w:rPr>
              <w:t>模型</w:t>
            </w:r>
            <w:r>
              <w:rPr>
                <w:rFonts w:hint="eastAsia" w:ascii="宋体" w:hAnsi="宋体" w:cs="宋体"/>
                <w:szCs w:val="21"/>
                <w:highlight w:val="none"/>
                <w:lang w:val="en-US" w:eastAsia="zh-CN"/>
              </w:rPr>
              <w:t>监测、优化</w:t>
            </w:r>
            <w:r>
              <w:rPr>
                <w:rFonts w:hint="eastAsia" w:ascii="宋体" w:hAnsi="宋体" w:eastAsia="宋体" w:cs="宋体"/>
                <w:szCs w:val="21"/>
                <w:highlight w:val="none"/>
                <w:lang w:val="en-US" w:eastAsia="zh-CN"/>
              </w:rPr>
              <w:t>体系</w:t>
            </w:r>
            <w:r>
              <w:rPr>
                <w:rFonts w:hint="eastAsia" w:ascii="宋体" w:hAnsi="宋体" w:cs="宋体"/>
                <w:szCs w:val="21"/>
                <w:highlight w:val="none"/>
                <w:lang w:val="en-US" w:eastAsia="zh-CN"/>
              </w:rPr>
              <w:t>建设</w:t>
            </w:r>
          </w:p>
        </w:tc>
        <w:tc>
          <w:tcPr>
            <w:tcW w:w="78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针对落地的模型建立多维度</w:t>
            </w:r>
            <w:r>
              <w:rPr>
                <w:rFonts w:hint="eastAsia" w:ascii="宋体" w:hAnsi="宋体" w:cs="宋体"/>
                <w:szCs w:val="21"/>
                <w:highlight w:val="none"/>
                <w:lang w:val="en-US" w:eastAsia="zh-CN"/>
              </w:rPr>
              <w:t>内评模型</w:t>
            </w:r>
            <w:r>
              <w:rPr>
                <w:rFonts w:hint="eastAsia" w:ascii="宋体" w:hAnsi="宋体" w:eastAsia="宋体" w:cs="宋体"/>
                <w:szCs w:val="21"/>
                <w:highlight w:val="none"/>
                <w:lang w:val="en-US" w:eastAsia="zh-CN"/>
              </w:rPr>
              <w:t>监控指标体系，动态</w:t>
            </w:r>
            <w:r>
              <w:rPr>
                <w:rFonts w:hint="eastAsia" w:ascii="宋体" w:hAnsi="宋体" w:cs="宋体"/>
                <w:szCs w:val="21"/>
                <w:highlight w:val="none"/>
                <w:lang w:val="en-US" w:eastAsia="zh-CN"/>
              </w:rPr>
              <w:t>监测评级</w:t>
            </w:r>
            <w:r>
              <w:rPr>
                <w:rFonts w:hint="eastAsia" w:ascii="宋体" w:hAnsi="宋体" w:eastAsia="宋体" w:cs="宋体"/>
                <w:szCs w:val="21"/>
                <w:highlight w:val="none"/>
                <w:lang w:val="en-US" w:eastAsia="zh-CN"/>
              </w:rPr>
              <w:t>模型的执行效果，</w:t>
            </w:r>
            <w:r>
              <w:rPr>
                <w:rFonts w:hint="eastAsia" w:ascii="宋体" w:hAnsi="宋体" w:cs="宋体"/>
                <w:szCs w:val="21"/>
                <w:highlight w:val="none"/>
                <w:lang w:val="en-US" w:eastAsia="zh-CN"/>
              </w:rPr>
              <w:t>并制定模型优化方案，保障内评模型的平稳运行</w:t>
            </w:r>
            <w:r>
              <w:rPr>
                <w:rFonts w:hint="eastAsia" w:ascii="宋体" w:hAnsi="宋体" w:eastAsia="宋体" w:cs="宋体"/>
                <w:szCs w:val="21"/>
                <w:highlight w:val="none"/>
                <w:lang w:val="en-US" w:eastAsia="zh-CN"/>
              </w:rPr>
              <w:t>。</w:t>
            </w:r>
          </w:p>
        </w:tc>
      </w:tr>
    </w:tbl>
    <w:p>
      <w:pPr>
        <w:spacing w:line="360" w:lineRule="auto"/>
        <w:rPr>
          <w:rFonts w:ascii="宋体" w:hAnsi="宋体" w:cs="宋体"/>
          <w:b/>
          <w:bCs/>
          <w:szCs w:val="21"/>
          <w:highlight w:val="none"/>
        </w:rPr>
      </w:pPr>
      <w:r>
        <w:rPr>
          <w:rFonts w:hint="eastAsia" w:ascii="宋体" w:hAnsi="宋体"/>
          <w:b/>
          <w:bCs/>
          <w:szCs w:val="21"/>
          <w:highlight w:val="none"/>
        </w:rPr>
        <w:t>四、</w:t>
      </w:r>
      <w:r>
        <w:rPr>
          <w:rFonts w:hint="eastAsia" w:ascii="宋体" w:hAnsi="宋体" w:cs="宋体"/>
          <w:b/>
          <w:bCs/>
          <w:szCs w:val="21"/>
          <w:highlight w:val="none"/>
        </w:rPr>
        <w:t>项目总体服务要求</w:t>
      </w:r>
    </w:p>
    <w:p>
      <w:pPr>
        <w:spacing w:line="360" w:lineRule="auto"/>
        <w:ind w:firstLine="420" w:firstLineChars="200"/>
        <w:rPr>
          <w:rFonts w:hint="default" w:ascii="宋体" w:hAnsi="宋体" w:eastAsia="宋体" w:cs="楷体_GB2312"/>
          <w:b w:val="0"/>
          <w:bCs w:val="0"/>
          <w:kern w:val="28"/>
          <w:szCs w:val="21"/>
          <w:highlight w:val="none"/>
          <w:lang w:val="en-US" w:eastAsia="zh-CN"/>
        </w:rPr>
      </w:pPr>
      <w:r>
        <w:rPr>
          <w:rFonts w:hint="eastAsia" w:ascii="宋体" w:hAnsi="宋体" w:eastAsia="宋体" w:cs="楷体_GB2312"/>
          <w:b w:val="0"/>
          <w:bCs w:val="0"/>
          <w:kern w:val="28"/>
          <w:szCs w:val="21"/>
          <w:highlight w:val="none"/>
        </w:rPr>
        <w:t>（一）</w:t>
      </w:r>
      <w:r>
        <w:rPr>
          <w:rFonts w:hint="eastAsia" w:ascii="宋体" w:hAnsi="宋体" w:cs="楷体_GB2312"/>
          <w:b w:val="0"/>
          <w:bCs w:val="0"/>
          <w:kern w:val="28"/>
          <w:szCs w:val="21"/>
          <w:highlight w:val="none"/>
          <w:lang w:val="en-US" w:eastAsia="zh-CN"/>
        </w:rPr>
        <w:t>供应商根据项目需求为我行提供专业的咨询服务，并形成相关文档作为交付物，并对我行风控团队开展模型维护、调优等专项培训，完成知识转移。</w:t>
      </w:r>
    </w:p>
    <w:p>
      <w:pPr>
        <w:spacing w:line="360" w:lineRule="auto"/>
        <w:ind w:firstLine="420" w:firstLineChars="200"/>
        <w:rPr>
          <w:rFonts w:hint="default" w:ascii="宋体" w:hAnsi="宋体" w:eastAsia="宋体" w:cs="仿宋_GB2312"/>
          <w:b w:val="0"/>
          <w:bCs w:val="0"/>
          <w:szCs w:val="21"/>
          <w:highlight w:val="none"/>
          <w:lang w:val="en-US" w:eastAsia="zh-CN"/>
        </w:rPr>
      </w:pPr>
      <w:r>
        <w:rPr>
          <w:rFonts w:hint="eastAsia" w:ascii="宋体" w:hAnsi="宋体" w:eastAsia="宋体" w:cs="楷体_GB2312"/>
          <w:b w:val="0"/>
          <w:bCs w:val="0"/>
          <w:kern w:val="28"/>
          <w:szCs w:val="21"/>
          <w:highlight w:val="none"/>
        </w:rPr>
        <w:t>（二）</w:t>
      </w:r>
      <w:r>
        <w:rPr>
          <w:rFonts w:hint="eastAsia" w:ascii="宋体" w:hAnsi="宋体" w:cs="楷体_GB2312"/>
          <w:b w:val="0"/>
          <w:bCs w:val="0"/>
          <w:kern w:val="28"/>
          <w:szCs w:val="21"/>
          <w:highlight w:val="none"/>
          <w:lang w:val="en-US" w:eastAsia="zh-CN"/>
        </w:rPr>
        <w:t>供应商需要协助我行完成内评模型上线并运行正常，并提供至少1年的模型监控与迭代优化技术支持服务。</w:t>
      </w:r>
    </w:p>
    <w:p>
      <w:pPr>
        <w:spacing w:line="360" w:lineRule="auto"/>
        <w:ind w:firstLine="420" w:firstLineChars="200"/>
        <w:rPr>
          <w:highlight w:val="none"/>
        </w:rPr>
      </w:pPr>
      <w:r>
        <w:rPr>
          <w:rFonts w:hint="eastAsia" w:ascii="宋体" w:hAnsi="宋体" w:eastAsia="宋体" w:cs="楷体_GB2312"/>
          <w:b w:val="0"/>
          <w:bCs w:val="0"/>
          <w:kern w:val="28"/>
          <w:szCs w:val="21"/>
          <w:highlight w:val="none"/>
        </w:rPr>
        <w:t>（三）</w:t>
      </w:r>
      <w:r>
        <w:rPr>
          <w:rFonts w:hint="eastAsia" w:ascii="宋体" w:hAnsi="宋体" w:eastAsia="宋体" w:cs="仿宋_GB2312"/>
          <w:b w:val="0"/>
          <w:bCs w:val="0"/>
          <w:szCs w:val="21"/>
          <w:highlight w:val="none"/>
        </w:rPr>
        <w:t>所有服务内容必须由原厂提供，供应商不得将本项目的全部或部分转包给第三方。</w:t>
      </w:r>
    </w:p>
    <w:p>
      <w:pPr>
        <w:spacing w:line="360" w:lineRule="auto"/>
        <w:rPr>
          <w:rFonts w:ascii="宋体" w:hAnsi="宋体"/>
          <w:b/>
          <w:bCs/>
          <w:szCs w:val="21"/>
          <w:highlight w:val="none"/>
        </w:rPr>
      </w:pPr>
      <w:r>
        <w:rPr>
          <w:rFonts w:hint="eastAsia" w:ascii="宋体" w:hAnsi="宋体"/>
          <w:b/>
          <w:bCs/>
          <w:szCs w:val="21"/>
          <w:highlight w:val="none"/>
        </w:rPr>
        <w:t>五、供应商（本项目指产品制造商）要求</w:t>
      </w:r>
    </w:p>
    <w:p>
      <w:pPr>
        <w:spacing w:line="360" w:lineRule="auto"/>
        <w:ind w:firstLine="420" w:firstLineChars="200"/>
        <w:rPr>
          <w:rFonts w:hint="eastAsia" w:ascii="宋体" w:hAnsi="宋体" w:eastAsia="宋体" w:cs="仿宋_GB2312"/>
          <w:b w:val="0"/>
          <w:bCs w:val="0"/>
          <w:szCs w:val="21"/>
          <w:highlight w:val="none"/>
        </w:rPr>
      </w:pP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lang w:val="en-US" w:eastAsia="zh-CN"/>
        </w:rPr>
        <w:t>一</w:t>
      </w: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rPr>
        <w:t>供应商</w:t>
      </w:r>
      <w:r>
        <w:rPr>
          <w:rFonts w:hint="default" w:ascii="宋体" w:hAnsi="宋体" w:eastAsia="宋体" w:cs="仿宋_GB2312"/>
          <w:b w:val="0"/>
          <w:bCs w:val="0"/>
          <w:szCs w:val="21"/>
          <w:highlight w:val="none"/>
          <w:lang w:val="en-US" w:eastAsia="zh-CN"/>
        </w:rPr>
        <w:t>必须是在中国注册的企业法人或其他组织，具有有效的营业执照，并具有独立承担民事责任的能力，</w:t>
      </w:r>
      <w:r>
        <w:rPr>
          <w:rFonts w:hint="eastAsia" w:ascii="宋体" w:hAnsi="宋体" w:eastAsia="宋体" w:cs="仿宋_GB2312"/>
          <w:b w:val="0"/>
          <w:bCs w:val="0"/>
          <w:szCs w:val="21"/>
          <w:highlight w:val="none"/>
          <w:lang w:val="en-US" w:eastAsia="zh-CN"/>
        </w:rPr>
        <w:t>同时具备金融风控领域相关经营许可。</w:t>
      </w:r>
    </w:p>
    <w:p>
      <w:pPr>
        <w:spacing w:line="360" w:lineRule="auto"/>
        <w:ind w:firstLine="420" w:firstLineChars="200"/>
        <w:rPr>
          <w:rFonts w:hint="eastAsia" w:ascii="宋体" w:hAnsi="宋体" w:eastAsia="宋体" w:cs="仿宋_GB2312"/>
          <w:b w:val="0"/>
          <w:bCs w:val="0"/>
          <w:szCs w:val="21"/>
          <w:highlight w:val="none"/>
        </w:rPr>
      </w:pP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lang w:val="en-US" w:eastAsia="zh-CN"/>
        </w:rPr>
        <w:t>二</w:t>
      </w: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rPr>
        <w:t>供应商按以下要求提供</w:t>
      </w:r>
      <w:r>
        <w:rPr>
          <w:rFonts w:hint="eastAsia" w:ascii="宋体" w:hAnsi="宋体" w:eastAsia="宋体" w:cs="仿宋_GB2312"/>
          <w:b w:val="0"/>
          <w:bCs w:val="0"/>
          <w:szCs w:val="21"/>
          <w:highlight w:val="none"/>
          <w:lang w:val="en-US" w:eastAsia="zh-CN"/>
        </w:rPr>
        <w:t>国内</w:t>
      </w:r>
      <w:r>
        <w:rPr>
          <w:rFonts w:hint="eastAsia" w:ascii="宋体" w:hAnsi="宋体" w:eastAsia="宋体" w:cs="仿宋_GB2312"/>
          <w:b w:val="0"/>
          <w:bCs w:val="0"/>
          <w:szCs w:val="21"/>
          <w:highlight w:val="none"/>
        </w:rPr>
        <w:t>银行业</w:t>
      </w:r>
      <w:r>
        <w:rPr>
          <w:rFonts w:hint="eastAsia" w:ascii="宋体" w:hAnsi="宋体" w:eastAsia="宋体" w:cs="仿宋_GB2312"/>
          <w:b w:val="0"/>
          <w:bCs w:val="0"/>
          <w:szCs w:val="21"/>
          <w:highlight w:val="none"/>
          <w:lang w:val="en-US" w:eastAsia="zh-CN"/>
        </w:rPr>
        <w:t>的</w:t>
      </w:r>
      <w:r>
        <w:rPr>
          <w:rFonts w:hint="eastAsia" w:ascii="宋体" w:hAnsi="宋体" w:cs="宋体"/>
          <w:szCs w:val="21"/>
          <w:highlight w:val="none"/>
          <w:lang w:val="en-US" w:eastAsia="zh-CN"/>
        </w:rPr>
        <w:t>内部信用评级模型建设</w:t>
      </w:r>
      <w:r>
        <w:rPr>
          <w:rFonts w:hint="eastAsia" w:ascii="宋体" w:hAnsi="宋体" w:eastAsia="宋体" w:cs="宋体"/>
          <w:szCs w:val="21"/>
          <w:highlight w:val="none"/>
          <w:lang w:val="en-US" w:eastAsia="zh-CN"/>
        </w:rPr>
        <w:t>项目</w:t>
      </w:r>
      <w:r>
        <w:rPr>
          <w:rFonts w:hint="eastAsia" w:ascii="宋体" w:hAnsi="宋体" w:eastAsia="宋体" w:cs="仿宋_GB2312"/>
          <w:b w:val="0"/>
          <w:bCs w:val="0"/>
          <w:szCs w:val="21"/>
          <w:highlight w:val="none"/>
          <w:lang w:val="en-US" w:eastAsia="zh-CN"/>
        </w:rPr>
        <w:t>的</w:t>
      </w:r>
      <w:r>
        <w:rPr>
          <w:rFonts w:hint="eastAsia" w:ascii="宋体" w:hAnsi="宋体" w:eastAsia="宋体" w:cs="仿宋_GB2312"/>
          <w:b w:val="0"/>
          <w:bCs w:val="0"/>
          <w:szCs w:val="21"/>
          <w:highlight w:val="none"/>
        </w:rPr>
        <w:t>案例业绩，并满足以下所有条件：</w:t>
      </w:r>
    </w:p>
    <w:p>
      <w:pPr>
        <w:spacing w:line="360" w:lineRule="auto"/>
        <w:ind w:firstLine="420" w:firstLineChars="200"/>
        <w:rPr>
          <w:rFonts w:hint="default" w:ascii="宋体" w:hAnsi="宋体" w:eastAsia="宋体" w:cs="仿宋_GB2312"/>
          <w:b w:val="0"/>
          <w:bCs w:val="0"/>
          <w:szCs w:val="21"/>
          <w:highlight w:val="none"/>
          <w:lang w:val="en-US" w:eastAsia="zh-CN"/>
        </w:rPr>
      </w:pPr>
      <w:r>
        <w:rPr>
          <w:rFonts w:hint="eastAsia" w:ascii="宋体" w:hAnsi="宋体" w:eastAsia="宋体" w:cs="仿宋_GB2312"/>
          <w:b w:val="0"/>
          <w:bCs w:val="0"/>
          <w:szCs w:val="21"/>
          <w:highlight w:val="none"/>
        </w:rPr>
        <w:t>（1）时间要求：20</w:t>
      </w:r>
      <w:r>
        <w:rPr>
          <w:rFonts w:hint="eastAsia" w:ascii="宋体" w:hAnsi="宋体" w:eastAsia="宋体" w:cs="仿宋_GB2312"/>
          <w:b w:val="0"/>
          <w:bCs w:val="0"/>
          <w:szCs w:val="21"/>
          <w:highlight w:val="none"/>
          <w:lang w:val="en-US" w:eastAsia="zh-CN"/>
        </w:rPr>
        <w:t>22</w:t>
      </w:r>
      <w:r>
        <w:rPr>
          <w:rFonts w:hint="eastAsia" w:ascii="宋体" w:hAnsi="宋体" w:eastAsia="宋体" w:cs="仿宋_GB2312"/>
          <w:b w:val="0"/>
          <w:bCs w:val="0"/>
          <w:szCs w:val="21"/>
          <w:highlight w:val="none"/>
        </w:rPr>
        <w:t>年1月1日之后签订</w:t>
      </w:r>
      <w:r>
        <w:rPr>
          <w:rFonts w:hint="eastAsia" w:ascii="宋体" w:hAnsi="宋体" w:eastAsia="宋体" w:cs="仿宋_GB2312"/>
          <w:b w:val="0"/>
          <w:bCs w:val="0"/>
          <w:szCs w:val="21"/>
          <w:highlight w:val="none"/>
          <w:lang w:val="en-US" w:eastAsia="zh-CN"/>
        </w:rPr>
        <w:t>的（以合同签订时间为准）</w:t>
      </w:r>
      <w:r>
        <w:rPr>
          <w:rFonts w:hint="eastAsia" w:ascii="宋体" w:hAnsi="宋体" w:eastAsia="宋体" w:cs="仿宋_GB2312"/>
          <w:b w:val="0"/>
          <w:bCs w:val="0"/>
          <w:szCs w:val="21"/>
          <w:highlight w:val="none"/>
        </w:rPr>
        <w:t>。</w:t>
      </w:r>
    </w:p>
    <w:p>
      <w:pPr>
        <w:spacing w:line="360" w:lineRule="auto"/>
        <w:ind w:firstLine="420" w:firstLineChars="200"/>
        <w:rPr>
          <w:rFonts w:hint="eastAsia" w:ascii="宋体" w:hAnsi="宋体" w:eastAsia="宋体" w:cs="仿宋_GB2312"/>
          <w:b w:val="0"/>
          <w:bCs w:val="0"/>
          <w:szCs w:val="21"/>
          <w:highlight w:val="none"/>
          <w:lang w:eastAsia="zh-CN"/>
        </w:rPr>
      </w:pPr>
      <w:r>
        <w:rPr>
          <w:rFonts w:hint="eastAsia" w:ascii="宋体" w:hAnsi="宋体" w:eastAsia="宋体" w:cs="仿宋_GB2312"/>
          <w:b w:val="0"/>
          <w:bCs w:val="0"/>
          <w:szCs w:val="21"/>
          <w:highlight w:val="none"/>
        </w:rPr>
        <w:t>（2）</w:t>
      </w:r>
      <w:r>
        <w:rPr>
          <w:rFonts w:hint="eastAsia" w:ascii="宋体" w:hAnsi="宋体" w:eastAsia="宋体" w:cs="仿宋_GB2312"/>
          <w:b w:val="0"/>
          <w:bCs w:val="0"/>
          <w:szCs w:val="21"/>
          <w:highlight w:val="none"/>
          <w:lang w:val="en-US" w:eastAsia="zh-CN"/>
        </w:rPr>
        <w:t>内容</w:t>
      </w:r>
      <w:r>
        <w:rPr>
          <w:rFonts w:hint="eastAsia" w:ascii="宋体" w:hAnsi="宋体" w:eastAsia="宋体" w:cs="仿宋_GB2312"/>
          <w:b w:val="0"/>
          <w:bCs w:val="0"/>
          <w:szCs w:val="21"/>
          <w:highlight w:val="none"/>
        </w:rPr>
        <w:t>要求：与国内银行直接签订</w:t>
      </w:r>
      <w:r>
        <w:rPr>
          <w:rFonts w:hint="eastAsia" w:ascii="宋体" w:hAnsi="宋体" w:eastAsia="宋体" w:cs="仿宋_GB2312"/>
          <w:b w:val="0"/>
          <w:bCs w:val="0"/>
          <w:szCs w:val="21"/>
          <w:highlight w:val="none"/>
          <w:lang w:val="en-US" w:eastAsia="zh-CN"/>
        </w:rPr>
        <w:t>的</w:t>
      </w:r>
      <w:r>
        <w:rPr>
          <w:rFonts w:hint="eastAsia" w:ascii="宋体" w:hAnsi="宋体" w:cs="宋体"/>
          <w:szCs w:val="21"/>
          <w:highlight w:val="none"/>
          <w:lang w:val="en-US" w:eastAsia="zh-CN"/>
        </w:rPr>
        <w:t>内部信用评级模型建设</w:t>
      </w:r>
      <w:r>
        <w:rPr>
          <w:rFonts w:hint="eastAsia" w:ascii="宋体" w:hAnsi="宋体" w:eastAsia="宋体" w:cs="宋体"/>
          <w:szCs w:val="21"/>
          <w:highlight w:val="none"/>
          <w:lang w:val="en-US" w:eastAsia="zh-CN"/>
        </w:rPr>
        <w:t>项目</w:t>
      </w:r>
      <w:r>
        <w:rPr>
          <w:rFonts w:hint="eastAsia" w:ascii="宋体" w:hAnsi="宋体" w:eastAsia="宋体" w:cs="仿宋_GB2312"/>
          <w:b w:val="0"/>
          <w:bCs w:val="0"/>
          <w:szCs w:val="21"/>
          <w:highlight w:val="none"/>
        </w:rPr>
        <w:t>案例，须提供合同及结算发票复印件并加盖公章。注：合同内容应体现人员、</w:t>
      </w:r>
      <w:r>
        <w:rPr>
          <w:rFonts w:hint="eastAsia" w:ascii="宋体" w:hAnsi="宋体" w:eastAsia="宋体" w:cs="仿宋_GB2312"/>
          <w:b w:val="0"/>
          <w:bCs w:val="0"/>
          <w:szCs w:val="21"/>
          <w:highlight w:val="none"/>
          <w:lang w:val="en-US" w:eastAsia="zh-CN"/>
        </w:rPr>
        <w:t>服务内容</w:t>
      </w:r>
      <w:r>
        <w:rPr>
          <w:rFonts w:hint="eastAsia" w:ascii="宋体" w:hAnsi="宋体" w:eastAsia="宋体" w:cs="仿宋_GB2312"/>
          <w:b w:val="0"/>
          <w:bCs w:val="0"/>
          <w:szCs w:val="21"/>
          <w:highlight w:val="none"/>
        </w:rPr>
        <w:t>、资金等方面具有相应的服务实施能力。（包括但不限于以下关键信息：项目名称、服务内容、合同金额、合同标的内容页、签订日期、双方签字盖章页，证明实施案例与本次采购需求相关的内容）合同签订主体应与供应商名称保持一致（母公司、子公司或兄弟公司业绩无效）；合同内容不得遮挡，否则不予认定</w:t>
      </w:r>
      <w:r>
        <w:rPr>
          <w:rFonts w:hint="eastAsia" w:ascii="宋体" w:hAnsi="宋体" w:eastAsia="宋体" w:cs="仿宋_GB2312"/>
          <w:b w:val="0"/>
          <w:bCs w:val="0"/>
          <w:szCs w:val="21"/>
          <w:highlight w:val="none"/>
          <w:lang w:eastAsia="zh-CN"/>
        </w:rPr>
        <w:t>。</w:t>
      </w:r>
    </w:p>
    <w:p>
      <w:pPr>
        <w:spacing w:line="360" w:lineRule="auto"/>
        <w:ind w:firstLine="420" w:firstLineChars="200"/>
        <w:rPr>
          <w:rFonts w:hint="eastAsia" w:ascii="宋体" w:hAnsi="宋体" w:eastAsia="宋体" w:cs="仿宋_GB2312"/>
          <w:b w:val="0"/>
          <w:bCs w:val="0"/>
          <w:szCs w:val="21"/>
          <w:highlight w:val="none"/>
        </w:rPr>
      </w:pP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lang w:val="en-US" w:eastAsia="zh-CN"/>
        </w:rPr>
        <w:t>三</w:t>
      </w: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rPr>
        <w:t>供应商在202</w:t>
      </w:r>
      <w:r>
        <w:rPr>
          <w:rFonts w:hint="eastAsia" w:ascii="宋体" w:hAnsi="宋体" w:eastAsia="宋体" w:cs="仿宋_GB2312"/>
          <w:b w:val="0"/>
          <w:bCs w:val="0"/>
          <w:szCs w:val="21"/>
          <w:highlight w:val="none"/>
          <w:lang w:val="en-US" w:eastAsia="zh-CN"/>
        </w:rPr>
        <w:t>2</w:t>
      </w:r>
      <w:r>
        <w:rPr>
          <w:rFonts w:hint="eastAsia" w:ascii="宋体" w:hAnsi="宋体" w:eastAsia="宋体" w:cs="仿宋_GB2312"/>
          <w:b w:val="0"/>
          <w:bCs w:val="0"/>
          <w:szCs w:val="21"/>
          <w:highlight w:val="none"/>
        </w:rPr>
        <w:t>年1月1日至今的经营活动中无重大违法记录，没有处于被责令停业或投标资格被取消、财产被接管、冻结的状态，未被“信用中国”网站(www.creditchina.gov.cn)列入失信被执行人名单。须提供在202</w:t>
      </w:r>
      <w:r>
        <w:rPr>
          <w:rFonts w:hint="eastAsia" w:ascii="宋体" w:hAnsi="宋体" w:eastAsia="宋体" w:cs="仿宋_GB2312"/>
          <w:b w:val="0"/>
          <w:bCs w:val="0"/>
          <w:szCs w:val="21"/>
          <w:highlight w:val="none"/>
          <w:lang w:val="en-US" w:eastAsia="zh-CN"/>
        </w:rPr>
        <w:t>2</w:t>
      </w:r>
      <w:r>
        <w:rPr>
          <w:rFonts w:hint="eastAsia" w:ascii="宋体" w:hAnsi="宋体" w:eastAsia="宋体" w:cs="仿宋_GB2312"/>
          <w:b w:val="0"/>
          <w:bCs w:val="0"/>
          <w:szCs w:val="21"/>
          <w:highlight w:val="none"/>
        </w:rPr>
        <w:t>年1月1日至今无重大违法记录声明书并加盖公章；查询“信用中国”网站未列入失信被执行人名单截图证明并加盖公章。</w:t>
      </w:r>
    </w:p>
    <w:p>
      <w:pPr>
        <w:spacing w:line="360" w:lineRule="auto"/>
        <w:ind w:firstLine="420" w:firstLineChars="200"/>
        <w:rPr>
          <w:rFonts w:hint="eastAsia" w:ascii="宋体" w:hAnsi="宋体" w:eastAsia="宋体" w:cs="仿宋_GB2312"/>
          <w:b w:val="0"/>
          <w:bCs w:val="0"/>
          <w:szCs w:val="21"/>
          <w:highlight w:val="none"/>
        </w:rPr>
      </w:pP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lang w:val="en-US" w:eastAsia="zh-CN"/>
        </w:rPr>
        <w:t>四</w:t>
      </w: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rPr>
        <w:t>供应商企业经营状态正常，在国家企业信用信息公示系统（http://www.gsxt.gov.cn/）企业查询信息正常（开业状态），无行政处罚信息、无列入经营异常名录信息、无列入严重违法失信企业名单（黑名单）信息，提供截图证明并加盖公章。</w:t>
      </w:r>
    </w:p>
    <w:p>
      <w:pPr>
        <w:spacing w:line="360" w:lineRule="auto"/>
        <w:ind w:firstLine="420" w:firstLineChars="200"/>
        <w:rPr>
          <w:rFonts w:hint="eastAsia" w:ascii="宋体" w:hAnsi="宋体" w:eastAsia="宋体" w:cs="仿宋_GB2312"/>
          <w:b w:val="0"/>
          <w:bCs w:val="0"/>
          <w:szCs w:val="21"/>
          <w:highlight w:val="none"/>
        </w:rPr>
      </w:pP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lang w:val="en-US" w:eastAsia="zh-CN"/>
        </w:rPr>
        <w:t>五</w:t>
      </w:r>
      <w:r>
        <w:rPr>
          <w:rFonts w:hint="eastAsia" w:ascii="宋体" w:hAnsi="宋体" w:eastAsia="宋体" w:cs="仿宋_GB2312"/>
          <w:b w:val="0"/>
          <w:bCs w:val="0"/>
          <w:szCs w:val="21"/>
          <w:highlight w:val="none"/>
          <w:lang w:eastAsia="zh-CN"/>
        </w:rPr>
        <w:t>）</w:t>
      </w:r>
      <w:r>
        <w:rPr>
          <w:rFonts w:hint="eastAsia" w:ascii="宋体" w:hAnsi="宋体" w:eastAsia="宋体" w:cs="仿宋_GB2312"/>
          <w:b w:val="0"/>
          <w:bCs w:val="0"/>
          <w:szCs w:val="21"/>
          <w:highlight w:val="none"/>
        </w:rPr>
        <w:t>供应商与采购人存在利害关系，可能影响采购公正性的法人、其他组织或者自然人，不得参加本次采购活动；单位负责人为同一人或者存在控股、管理关系的不同单位，不得同时参加同一项目采购活动。如供应商出现上述情况，视为无效响应。供应商须提供承诺函并加盖供应商公章。</w:t>
      </w:r>
    </w:p>
    <w:p>
      <w:pPr>
        <w:numPr>
          <w:ilvl w:val="0"/>
          <w:numId w:val="0"/>
        </w:numPr>
        <w:spacing w:line="360" w:lineRule="auto"/>
        <w:ind w:firstLine="420" w:firstLineChars="200"/>
        <w:rPr>
          <w:highlight w:val="none"/>
        </w:rPr>
      </w:pP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六</w:t>
      </w:r>
      <w:r>
        <w:rPr>
          <w:rFonts w:hint="eastAsia" w:ascii="宋体" w:hAnsi="宋体" w:cs="仿宋_GB2312"/>
          <w:szCs w:val="21"/>
          <w:highlight w:val="none"/>
          <w:lang w:eastAsia="zh-CN"/>
        </w:rPr>
        <w:t>）</w:t>
      </w:r>
      <w:r>
        <w:rPr>
          <w:rFonts w:hint="eastAsia" w:ascii="宋体" w:hAnsi="宋体" w:eastAsia="宋体" w:cs="仿宋_GB2312"/>
          <w:szCs w:val="21"/>
          <w:highlight w:val="none"/>
        </w:rPr>
        <w:t>上述相关证明材料在递交反馈《</w:t>
      </w:r>
      <w:r>
        <w:rPr>
          <w:rFonts w:hint="eastAsia" w:ascii="宋体" w:hAnsi="宋体" w:eastAsia="宋体" w:cs="仿宋_GB2312"/>
          <w:b w:val="0"/>
          <w:bCs w:val="0"/>
          <w:szCs w:val="21"/>
          <w:highlight w:val="none"/>
        </w:rPr>
        <w:t>东莞农村商业银行</w:t>
      </w:r>
      <w:r>
        <w:rPr>
          <w:rFonts w:hint="eastAsia" w:ascii="宋体" w:hAnsi="宋体" w:cs="宋体"/>
          <w:szCs w:val="21"/>
          <w:highlight w:val="none"/>
          <w:lang w:val="en-US" w:eastAsia="zh-CN"/>
        </w:rPr>
        <w:t>内部信用评级模型建设</w:t>
      </w:r>
      <w:r>
        <w:rPr>
          <w:rFonts w:hint="eastAsia" w:ascii="宋体" w:hAnsi="宋体" w:eastAsia="宋体" w:cs="宋体"/>
          <w:szCs w:val="21"/>
          <w:highlight w:val="none"/>
          <w:lang w:val="en-US" w:eastAsia="zh-CN"/>
        </w:rPr>
        <w:t>项目</w:t>
      </w:r>
      <w:r>
        <w:rPr>
          <w:rFonts w:hint="eastAsia" w:ascii="宋体" w:hAnsi="宋体" w:eastAsia="宋体" w:cs="仿宋_GB2312"/>
          <w:szCs w:val="21"/>
          <w:highlight w:val="none"/>
        </w:rPr>
        <w:t>市场调研记录表》时应提供上述相关证明材料的复印件</w:t>
      </w:r>
      <w:r>
        <w:rPr>
          <w:rFonts w:hint="eastAsia" w:ascii="宋体" w:hAnsi="宋体" w:cs="仿宋_GB2312"/>
          <w:szCs w:val="21"/>
          <w:highlight w:val="none"/>
          <w:lang w:val="en-US" w:eastAsia="zh-CN"/>
        </w:rPr>
        <w:t>以及</w:t>
      </w:r>
      <w:r>
        <w:rPr>
          <w:rFonts w:hint="eastAsia" w:ascii="宋体" w:hAnsi="宋体" w:eastAsia="宋体" w:cs="仿宋_GB2312"/>
          <w:szCs w:val="21"/>
          <w:highlight w:val="none"/>
        </w:rPr>
        <w:t>加盖供应商公章的扫描件。</w:t>
      </w:r>
    </w:p>
    <w:sectPr>
      <w:footerReference r:id="rId3" w:type="default"/>
      <w:pgSz w:w="11906" w:h="16838"/>
      <w:pgMar w:top="1134" w:right="1077"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6858AC11-7204-4A4F-8C6D-789A639DA335}"/>
    <w:docVar w:name="DocumentName" w:val="关于举办“‘医’瞬间 心跳的感觉”2023年青年趣味主题联谊活动的通知"/>
  </w:docVars>
  <w:rsids>
    <w:rsidRoot w:val="009F2FB4"/>
    <w:rsid w:val="00003D19"/>
    <w:rsid w:val="00041D24"/>
    <w:rsid w:val="00063342"/>
    <w:rsid w:val="00072117"/>
    <w:rsid w:val="00074E30"/>
    <w:rsid w:val="000758EF"/>
    <w:rsid w:val="00093499"/>
    <w:rsid w:val="000D3882"/>
    <w:rsid w:val="000E6541"/>
    <w:rsid w:val="000F4946"/>
    <w:rsid w:val="00110408"/>
    <w:rsid w:val="00115306"/>
    <w:rsid w:val="00115BC4"/>
    <w:rsid w:val="00137EAD"/>
    <w:rsid w:val="001A46B3"/>
    <w:rsid w:val="001B029E"/>
    <w:rsid w:val="001C2DAC"/>
    <w:rsid w:val="001D4644"/>
    <w:rsid w:val="001E7CB5"/>
    <w:rsid w:val="002263C9"/>
    <w:rsid w:val="00230479"/>
    <w:rsid w:val="00256C17"/>
    <w:rsid w:val="00262832"/>
    <w:rsid w:val="0026628E"/>
    <w:rsid w:val="00295FE6"/>
    <w:rsid w:val="002B7344"/>
    <w:rsid w:val="002C13F5"/>
    <w:rsid w:val="002E69AE"/>
    <w:rsid w:val="003000DE"/>
    <w:rsid w:val="003161EC"/>
    <w:rsid w:val="00327475"/>
    <w:rsid w:val="003425BD"/>
    <w:rsid w:val="00342647"/>
    <w:rsid w:val="00370FAA"/>
    <w:rsid w:val="00372F3B"/>
    <w:rsid w:val="00377276"/>
    <w:rsid w:val="00386F6F"/>
    <w:rsid w:val="003900F9"/>
    <w:rsid w:val="003B04D5"/>
    <w:rsid w:val="003B0517"/>
    <w:rsid w:val="003D2BF2"/>
    <w:rsid w:val="003D35ED"/>
    <w:rsid w:val="00404658"/>
    <w:rsid w:val="00410A8F"/>
    <w:rsid w:val="004465C1"/>
    <w:rsid w:val="004518E9"/>
    <w:rsid w:val="004842C7"/>
    <w:rsid w:val="004B3E2C"/>
    <w:rsid w:val="0051246D"/>
    <w:rsid w:val="00512C72"/>
    <w:rsid w:val="0052378B"/>
    <w:rsid w:val="00527815"/>
    <w:rsid w:val="00531D29"/>
    <w:rsid w:val="00561106"/>
    <w:rsid w:val="00561F31"/>
    <w:rsid w:val="005707D8"/>
    <w:rsid w:val="0058010C"/>
    <w:rsid w:val="005A155C"/>
    <w:rsid w:val="005B370B"/>
    <w:rsid w:val="005B77FA"/>
    <w:rsid w:val="005C769B"/>
    <w:rsid w:val="005E0F22"/>
    <w:rsid w:val="00657D6E"/>
    <w:rsid w:val="00661EED"/>
    <w:rsid w:val="0067085A"/>
    <w:rsid w:val="0067708D"/>
    <w:rsid w:val="00683ADB"/>
    <w:rsid w:val="00684671"/>
    <w:rsid w:val="0068743C"/>
    <w:rsid w:val="00697DF5"/>
    <w:rsid w:val="006B282D"/>
    <w:rsid w:val="006E028B"/>
    <w:rsid w:val="006E5C90"/>
    <w:rsid w:val="007071B7"/>
    <w:rsid w:val="00746096"/>
    <w:rsid w:val="00753D1D"/>
    <w:rsid w:val="00755FE0"/>
    <w:rsid w:val="007C1E65"/>
    <w:rsid w:val="007C4B35"/>
    <w:rsid w:val="007D1572"/>
    <w:rsid w:val="00801B16"/>
    <w:rsid w:val="0080258B"/>
    <w:rsid w:val="00812356"/>
    <w:rsid w:val="00833E0B"/>
    <w:rsid w:val="00834783"/>
    <w:rsid w:val="00876154"/>
    <w:rsid w:val="008877E3"/>
    <w:rsid w:val="008E4692"/>
    <w:rsid w:val="008E739F"/>
    <w:rsid w:val="008F5664"/>
    <w:rsid w:val="00906BCA"/>
    <w:rsid w:val="00932867"/>
    <w:rsid w:val="00932D28"/>
    <w:rsid w:val="00955B58"/>
    <w:rsid w:val="00960AD5"/>
    <w:rsid w:val="00967333"/>
    <w:rsid w:val="00997BAF"/>
    <w:rsid w:val="009A6E15"/>
    <w:rsid w:val="009C139A"/>
    <w:rsid w:val="009C6873"/>
    <w:rsid w:val="009F2FB4"/>
    <w:rsid w:val="009F5DB2"/>
    <w:rsid w:val="00A062E6"/>
    <w:rsid w:val="00AF0288"/>
    <w:rsid w:val="00AF1232"/>
    <w:rsid w:val="00AF5E80"/>
    <w:rsid w:val="00AF7968"/>
    <w:rsid w:val="00B561E7"/>
    <w:rsid w:val="00B71931"/>
    <w:rsid w:val="00B77CFE"/>
    <w:rsid w:val="00B827DC"/>
    <w:rsid w:val="00BB0D09"/>
    <w:rsid w:val="00BB1584"/>
    <w:rsid w:val="00BB432E"/>
    <w:rsid w:val="00BD79AF"/>
    <w:rsid w:val="00BF2C23"/>
    <w:rsid w:val="00C046DA"/>
    <w:rsid w:val="00C15B9E"/>
    <w:rsid w:val="00C403E0"/>
    <w:rsid w:val="00C479E2"/>
    <w:rsid w:val="00C707AE"/>
    <w:rsid w:val="00C73729"/>
    <w:rsid w:val="00CB63F4"/>
    <w:rsid w:val="00CC1905"/>
    <w:rsid w:val="00CD62A6"/>
    <w:rsid w:val="00CE7C21"/>
    <w:rsid w:val="00D37003"/>
    <w:rsid w:val="00D37546"/>
    <w:rsid w:val="00D45590"/>
    <w:rsid w:val="00D809E5"/>
    <w:rsid w:val="00DA0CD7"/>
    <w:rsid w:val="00DB70C8"/>
    <w:rsid w:val="00DC0BBA"/>
    <w:rsid w:val="00DD11BD"/>
    <w:rsid w:val="00E16703"/>
    <w:rsid w:val="00E32F5E"/>
    <w:rsid w:val="00E751AB"/>
    <w:rsid w:val="00E762DF"/>
    <w:rsid w:val="00E8570E"/>
    <w:rsid w:val="00E96664"/>
    <w:rsid w:val="00EC30FE"/>
    <w:rsid w:val="00EF6ABC"/>
    <w:rsid w:val="00EF7796"/>
    <w:rsid w:val="00F3242F"/>
    <w:rsid w:val="00F557E2"/>
    <w:rsid w:val="00F83F86"/>
    <w:rsid w:val="00FA2FB4"/>
    <w:rsid w:val="00FC204D"/>
    <w:rsid w:val="00FC3DC7"/>
    <w:rsid w:val="00FE62F0"/>
    <w:rsid w:val="00FE706B"/>
    <w:rsid w:val="01254990"/>
    <w:rsid w:val="012B7068"/>
    <w:rsid w:val="01A259B5"/>
    <w:rsid w:val="0277301A"/>
    <w:rsid w:val="027C41D4"/>
    <w:rsid w:val="029108A9"/>
    <w:rsid w:val="03043F03"/>
    <w:rsid w:val="031C15A9"/>
    <w:rsid w:val="036D482C"/>
    <w:rsid w:val="03867954"/>
    <w:rsid w:val="04C87667"/>
    <w:rsid w:val="04DA1F6F"/>
    <w:rsid w:val="05232EBD"/>
    <w:rsid w:val="05793607"/>
    <w:rsid w:val="058B0D7D"/>
    <w:rsid w:val="0594240C"/>
    <w:rsid w:val="05CE007A"/>
    <w:rsid w:val="0624220E"/>
    <w:rsid w:val="06A27BF1"/>
    <w:rsid w:val="07047ECE"/>
    <w:rsid w:val="071B2025"/>
    <w:rsid w:val="07204EF8"/>
    <w:rsid w:val="07922158"/>
    <w:rsid w:val="07E13EC2"/>
    <w:rsid w:val="07EA340B"/>
    <w:rsid w:val="07FD1FF2"/>
    <w:rsid w:val="080C603B"/>
    <w:rsid w:val="08103A22"/>
    <w:rsid w:val="08341171"/>
    <w:rsid w:val="08686258"/>
    <w:rsid w:val="087C10FB"/>
    <w:rsid w:val="08897A92"/>
    <w:rsid w:val="090C06B5"/>
    <w:rsid w:val="093211A4"/>
    <w:rsid w:val="09500754"/>
    <w:rsid w:val="097129E3"/>
    <w:rsid w:val="098B5FF5"/>
    <w:rsid w:val="09CC25EC"/>
    <w:rsid w:val="09E50C48"/>
    <w:rsid w:val="09E91E18"/>
    <w:rsid w:val="09F93B0B"/>
    <w:rsid w:val="0A2A2E4F"/>
    <w:rsid w:val="0A503B7A"/>
    <w:rsid w:val="0A6A4724"/>
    <w:rsid w:val="0AE0030A"/>
    <w:rsid w:val="0AEC6744"/>
    <w:rsid w:val="0B2E7CE5"/>
    <w:rsid w:val="0B6B4077"/>
    <w:rsid w:val="0B833E65"/>
    <w:rsid w:val="0BBF029E"/>
    <w:rsid w:val="0C60020A"/>
    <w:rsid w:val="0CE54E38"/>
    <w:rsid w:val="0D201B67"/>
    <w:rsid w:val="0D277AA0"/>
    <w:rsid w:val="0D5973C8"/>
    <w:rsid w:val="0D914791"/>
    <w:rsid w:val="0DA0163B"/>
    <w:rsid w:val="0DD8165E"/>
    <w:rsid w:val="0DDA2C6A"/>
    <w:rsid w:val="0E003006"/>
    <w:rsid w:val="0E531FCE"/>
    <w:rsid w:val="0E5F4D0D"/>
    <w:rsid w:val="0E6702DE"/>
    <w:rsid w:val="0EDE7171"/>
    <w:rsid w:val="0EEA0580"/>
    <w:rsid w:val="0F075103"/>
    <w:rsid w:val="10524587"/>
    <w:rsid w:val="10BC3DB7"/>
    <w:rsid w:val="10BD6382"/>
    <w:rsid w:val="10E27AA2"/>
    <w:rsid w:val="111D5BA4"/>
    <w:rsid w:val="115D7105"/>
    <w:rsid w:val="11886D50"/>
    <w:rsid w:val="11C21371"/>
    <w:rsid w:val="11CC10FB"/>
    <w:rsid w:val="122F2B31"/>
    <w:rsid w:val="12FA3BFF"/>
    <w:rsid w:val="1316681A"/>
    <w:rsid w:val="136E36ED"/>
    <w:rsid w:val="1381018F"/>
    <w:rsid w:val="139F035F"/>
    <w:rsid w:val="14247998"/>
    <w:rsid w:val="14C72A25"/>
    <w:rsid w:val="15704C38"/>
    <w:rsid w:val="15785D0F"/>
    <w:rsid w:val="15824087"/>
    <w:rsid w:val="15AC3C0A"/>
    <w:rsid w:val="15E51C0A"/>
    <w:rsid w:val="169731FB"/>
    <w:rsid w:val="16EB6EA7"/>
    <w:rsid w:val="16F76A7B"/>
    <w:rsid w:val="16F93C3E"/>
    <w:rsid w:val="16F94D56"/>
    <w:rsid w:val="16FB1BF9"/>
    <w:rsid w:val="171A3E19"/>
    <w:rsid w:val="171F05FA"/>
    <w:rsid w:val="1735378C"/>
    <w:rsid w:val="178737DD"/>
    <w:rsid w:val="17A961D4"/>
    <w:rsid w:val="17AF2403"/>
    <w:rsid w:val="185309F7"/>
    <w:rsid w:val="18565841"/>
    <w:rsid w:val="18B52D40"/>
    <w:rsid w:val="1907212B"/>
    <w:rsid w:val="190B7602"/>
    <w:rsid w:val="196732BA"/>
    <w:rsid w:val="19A5366A"/>
    <w:rsid w:val="19CF7EE4"/>
    <w:rsid w:val="1A3630E4"/>
    <w:rsid w:val="1A574945"/>
    <w:rsid w:val="1AF070C2"/>
    <w:rsid w:val="1AFA1BD0"/>
    <w:rsid w:val="1AFF6057"/>
    <w:rsid w:val="1B082E46"/>
    <w:rsid w:val="1B59326E"/>
    <w:rsid w:val="1BB81089"/>
    <w:rsid w:val="1C0F652B"/>
    <w:rsid w:val="1C387059"/>
    <w:rsid w:val="1C5A2DAB"/>
    <w:rsid w:val="1C8D06C8"/>
    <w:rsid w:val="1CA6768D"/>
    <w:rsid w:val="1CE01E3B"/>
    <w:rsid w:val="1D754862"/>
    <w:rsid w:val="1D9477C7"/>
    <w:rsid w:val="1DA7501D"/>
    <w:rsid w:val="1E411614"/>
    <w:rsid w:val="1ED50A74"/>
    <w:rsid w:val="1EDF5915"/>
    <w:rsid w:val="1EFD574E"/>
    <w:rsid w:val="1F8C7450"/>
    <w:rsid w:val="1F9736CC"/>
    <w:rsid w:val="1FAE710E"/>
    <w:rsid w:val="1FD004F5"/>
    <w:rsid w:val="20854257"/>
    <w:rsid w:val="20986689"/>
    <w:rsid w:val="20D962CC"/>
    <w:rsid w:val="212F207F"/>
    <w:rsid w:val="21452025"/>
    <w:rsid w:val="21551D08"/>
    <w:rsid w:val="218D7FF4"/>
    <w:rsid w:val="21B40A0F"/>
    <w:rsid w:val="21CB284F"/>
    <w:rsid w:val="21E7182E"/>
    <w:rsid w:val="21E9106C"/>
    <w:rsid w:val="21F64047"/>
    <w:rsid w:val="225954E7"/>
    <w:rsid w:val="22814211"/>
    <w:rsid w:val="228F6DEB"/>
    <w:rsid w:val="22C02917"/>
    <w:rsid w:val="234165E7"/>
    <w:rsid w:val="235A1217"/>
    <w:rsid w:val="236C427B"/>
    <w:rsid w:val="23C15D44"/>
    <w:rsid w:val="241F0A0F"/>
    <w:rsid w:val="245B55A7"/>
    <w:rsid w:val="248B7883"/>
    <w:rsid w:val="24C774F3"/>
    <w:rsid w:val="24E32653"/>
    <w:rsid w:val="24FA7B37"/>
    <w:rsid w:val="250A5BD3"/>
    <w:rsid w:val="25223279"/>
    <w:rsid w:val="25933310"/>
    <w:rsid w:val="25C01E7E"/>
    <w:rsid w:val="25E26D21"/>
    <w:rsid w:val="25FC7E3F"/>
    <w:rsid w:val="26256EA1"/>
    <w:rsid w:val="263962C5"/>
    <w:rsid w:val="26F853FE"/>
    <w:rsid w:val="27074394"/>
    <w:rsid w:val="27422A77"/>
    <w:rsid w:val="27827560"/>
    <w:rsid w:val="278D6D62"/>
    <w:rsid w:val="27C32548"/>
    <w:rsid w:val="27EF0B64"/>
    <w:rsid w:val="28AA6FC3"/>
    <w:rsid w:val="28E33CA5"/>
    <w:rsid w:val="29020CD6"/>
    <w:rsid w:val="296E5E07"/>
    <w:rsid w:val="297A24E8"/>
    <w:rsid w:val="29A8028E"/>
    <w:rsid w:val="29CC3C22"/>
    <w:rsid w:val="29FA516E"/>
    <w:rsid w:val="2A006F73"/>
    <w:rsid w:val="2A4F5310"/>
    <w:rsid w:val="2AF056DE"/>
    <w:rsid w:val="2B3E26E9"/>
    <w:rsid w:val="2B5D7831"/>
    <w:rsid w:val="2BA04180"/>
    <w:rsid w:val="2BC65CD8"/>
    <w:rsid w:val="2C175D66"/>
    <w:rsid w:val="2C27277D"/>
    <w:rsid w:val="2C5D6901"/>
    <w:rsid w:val="2C9B32AA"/>
    <w:rsid w:val="2CFE6F5D"/>
    <w:rsid w:val="2D06375B"/>
    <w:rsid w:val="2D30727C"/>
    <w:rsid w:val="2DA303B2"/>
    <w:rsid w:val="2DB96DCE"/>
    <w:rsid w:val="2DFA397D"/>
    <w:rsid w:val="2E0809F2"/>
    <w:rsid w:val="2E083C44"/>
    <w:rsid w:val="2E533718"/>
    <w:rsid w:val="2EC8784D"/>
    <w:rsid w:val="2F93021B"/>
    <w:rsid w:val="2FAE7798"/>
    <w:rsid w:val="2FB3074F"/>
    <w:rsid w:val="2FF279EE"/>
    <w:rsid w:val="302A16B2"/>
    <w:rsid w:val="302C34A7"/>
    <w:rsid w:val="3034552F"/>
    <w:rsid w:val="304E3E50"/>
    <w:rsid w:val="306A3D7B"/>
    <w:rsid w:val="30D07C22"/>
    <w:rsid w:val="31C35F31"/>
    <w:rsid w:val="31E41CE9"/>
    <w:rsid w:val="320F2B2D"/>
    <w:rsid w:val="328153EA"/>
    <w:rsid w:val="328A4FE6"/>
    <w:rsid w:val="32A2020C"/>
    <w:rsid w:val="32B45A4A"/>
    <w:rsid w:val="32C338D5"/>
    <w:rsid w:val="32ED71B1"/>
    <w:rsid w:val="33421B7C"/>
    <w:rsid w:val="337C3E29"/>
    <w:rsid w:val="3392652C"/>
    <w:rsid w:val="33C36CFB"/>
    <w:rsid w:val="34052FE8"/>
    <w:rsid w:val="340E164C"/>
    <w:rsid w:val="34143559"/>
    <w:rsid w:val="354074ED"/>
    <w:rsid w:val="35605FCE"/>
    <w:rsid w:val="35882501"/>
    <w:rsid w:val="358F726C"/>
    <w:rsid w:val="35B10D32"/>
    <w:rsid w:val="3601226B"/>
    <w:rsid w:val="365B680B"/>
    <w:rsid w:val="37440EBB"/>
    <w:rsid w:val="375B040C"/>
    <w:rsid w:val="37643EED"/>
    <w:rsid w:val="377C55D5"/>
    <w:rsid w:val="378B5F39"/>
    <w:rsid w:val="37907BFA"/>
    <w:rsid w:val="379F24CF"/>
    <w:rsid w:val="38485F9B"/>
    <w:rsid w:val="388C0E52"/>
    <w:rsid w:val="388E6F92"/>
    <w:rsid w:val="39243950"/>
    <w:rsid w:val="39CF2763"/>
    <w:rsid w:val="3A1976E0"/>
    <w:rsid w:val="3A570AD9"/>
    <w:rsid w:val="3A666609"/>
    <w:rsid w:val="3A786573"/>
    <w:rsid w:val="3A9D40B6"/>
    <w:rsid w:val="3AF52546"/>
    <w:rsid w:val="3BDC148B"/>
    <w:rsid w:val="3BEC7F9A"/>
    <w:rsid w:val="3C161724"/>
    <w:rsid w:val="3C39735A"/>
    <w:rsid w:val="3C643A21"/>
    <w:rsid w:val="3C6826F4"/>
    <w:rsid w:val="3C907D69"/>
    <w:rsid w:val="3C9776F3"/>
    <w:rsid w:val="3D326F92"/>
    <w:rsid w:val="3D3D6F88"/>
    <w:rsid w:val="3D6B054C"/>
    <w:rsid w:val="3DBD2567"/>
    <w:rsid w:val="3DD12D56"/>
    <w:rsid w:val="3E0E185F"/>
    <w:rsid w:val="3E0E5984"/>
    <w:rsid w:val="3E101EA5"/>
    <w:rsid w:val="3E262EBE"/>
    <w:rsid w:val="3E900B33"/>
    <w:rsid w:val="3EAA16DD"/>
    <w:rsid w:val="3EDF4135"/>
    <w:rsid w:val="3EF45B57"/>
    <w:rsid w:val="3F2029A0"/>
    <w:rsid w:val="3F2B709E"/>
    <w:rsid w:val="3F433E5A"/>
    <w:rsid w:val="3F593911"/>
    <w:rsid w:val="3F615A89"/>
    <w:rsid w:val="3FCE0156"/>
    <w:rsid w:val="3FF3391E"/>
    <w:rsid w:val="40275AB8"/>
    <w:rsid w:val="404235CF"/>
    <w:rsid w:val="405F012D"/>
    <w:rsid w:val="406C1C07"/>
    <w:rsid w:val="40885539"/>
    <w:rsid w:val="40CF284C"/>
    <w:rsid w:val="40E666D6"/>
    <w:rsid w:val="410A27F8"/>
    <w:rsid w:val="412A3870"/>
    <w:rsid w:val="412C6278"/>
    <w:rsid w:val="4144179F"/>
    <w:rsid w:val="41A43F03"/>
    <w:rsid w:val="41B521B1"/>
    <w:rsid w:val="41EA08B5"/>
    <w:rsid w:val="41EF4D3D"/>
    <w:rsid w:val="4250579A"/>
    <w:rsid w:val="42872932"/>
    <w:rsid w:val="42B204C6"/>
    <w:rsid w:val="42EE0B0F"/>
    <w:rsid w:val="42F02098"/>
    <w:rsid w:val="43AF0693"/>
    <w:rsid w:val="43B24EF0"/>
    <w:rsid w:val="43ED455E"/>
    <w:rsid w:val="44337121"/>
    <w:rsid w:val="444C2477"/>
    <w:rsid w:val="445C4E37"/>
    <w:rsid w:val="44A377A9"/>
    <w:rsid w:val="44A65FDD"/>
    <w:rsid w:val="45016875"/>
    <w:rsid w:val="45103CBD"/>
    <w:rsid w:val="451C7579"/>
    <w:rsid w:val="453A530A"/>
    <w:rsid w:val="453B44A5"/>
    <w:rsid w:val="456A43A7"/>
    <w:rsid w:val="459D0CC6"/>
    <w:rsid w:val="45B375E6"/>
    <w:rsid w:val="45C476F1"/>
    <w:rsid w:val="45E11C4F"/>
    <w:rsid w:val="463F1EE2"/>
    <w:rsid w:val="46B52681"/>
    <w:rsid w:val="46CF48BB"/>
    <w:rsid w:val="46FD0831"/>
    <w:rsid w:val="473F1E2E"/>
    <w:rsid w:val="477737C9"/>
    <w:rsid w:val="47B922BA"/>
    <w:rsid w:val="47EA630C"/>
    <w:rsid w:val="482A5950"/>
    <w:rsid w:val="485A1FDC"/>
    <w:rsid w:val="489F1C54"/>
    <w:rsid w:val="48A11DF1"/>
    <w:rsid w:val="48D92391"/>
    <w:rsid w:val="48DC07B3"/>
    <w:rsid w:val="49104A69"/>
    <w:rsid w:val="491856F9"/>
    <w:rsid w:val="492C219C"/>
    <w:rsid w:val="49607E4F"/>
    <w:rsid w:val="496D2C05"/>
    <w:rsid w:val="49F573AB"/>
    <w:rsid w:val="4A655B5A"/>
    <w:rsid w:val="4A826CD8"/>
    <w:rsid w:val="4ADA0199"/>
    <w:rsid w:val="4AE536EB"/>
    <w:rsid w:val="4AFB0DEB"/>
    <w:rsid w:val="4B4D4ADB"/>
    <w:rsid w:val="4B8340DA"/>
    <w:rsid w:val="4B926951"/>
    <w:rsid w:val="4B9367EA"/>
    <w:rsid w:val="4BB84D48"/>
    <w:rsid w:val="4BEE199F"/>
    <w:rsid w:val="4BFB5366"/>
    <w:rsid w:val="4C0705E8"/>
    <w:rsid w:val="4C321E71"/>
    <w:rsid w:val="4C497047"/>
    <w:rsid w:val="4C574A64"/>
    <w:rsid w:val="4C5E0D5A"/>
    <w:rsid w:val="4D7D176B"/>
    <w:rsid w:val="4DA40749"/>
    <w:rsid w:val="4DC70853"/>
    <w:rsid w:val="4E0F020F"/>
    <w:rsid w:val="4E85621C"/>
    <w:rsid w:val="4EC77ECE"/>
    <w:rsid w:val="4EFB1622"/>
    <w:rsid w:val="4F265CEA"/>
    <w:rsid w:val="4F524DAE"/>
    <w:rsid w:val="4F7769ED"/>
    <w:rsid w:val="4F9427E6"/>
    <w:rsid w:val="4F9E0E2B"/>
    <w:rsid w:val="50E23A41"/>
    <w:rsid w:val="51172EEC"/>
    <w:rsid w:val="514946EA"/>
    <w:rsid w:val="51AC0B8B"/>
    <w:rsid w:val="51B45F98"/>
    <w:rsid w:val="52276047"/>
    <w:rsid w:val="524A1938"/>
    <w:rsid w:val="52CA6EA2"/>
    <w:rsid w:val="52CC0FE3"/>
    <w:rsid w:val="53385DDA"/>
    <w:rsid w:val="53734287"/>
    <w:rsid w:val="5396336E"/>
    <w:rsid w:val="547E6904"/>
    <w:rsid w:val="549438EE"/>
    <w:rsid w:val="54A94ECD"/>
    <w:rsid w:val="54FB7079"/>
    <w:rsid w:val="550F1CE0"/>
    <w:rsid w:val="55C909CB"/>
    <w:rsid w:val="55D22B6D"/>
    <w:rsid w:val="55DD2EEF"/>
    <w:rsid w:val="560D0EDF"/>
    <w:rsid w:val="5610333E"/>
    <w:rsid w:val="562260D0"/>
    <w:rsid w:val="56C675EA"/>
    <w:rsid w:val="58025B08"/>
    <w:rsid w:val="580C7901"/>
    <w:rsid w:val="583B0A46"/>
    <w:rsid w:val="58587D80"/>
    <w:rsid w:val="598A2678"/>
    <w:rsid w:val="598B0C2D"/>
    <w:rsid w:val="5A713E1B"/>
    <w:rsid w:val="5A750FF4"/>
    <w:rsid w:val="5A7D4F9E"/>
    <w:rsid w:val="5A8552B0"/>
    <w:rsid w:val="5ACB3F81"/>
    <w:rsid w:val="5B40401E"/>
    <w:rsid w:val="5B4532FD"/>
    <w:rsid w:val="5BA64BE9"/>
    <w:rsid w:val="5BE273EE"/>
    <w:rsid w:val="5C121EBC"/>
    <w:rsid w:val="5C124EDB"/>
    <w:rsid w:val="5C1D5287"/>
    <w:rsid w:val="5C3200D6"/>
    <w:rsid w:val="5CD321F5"/>
    <w:rsid w:val="5D1549B8"/>
    <w:rsid w:val="5DD04BD2"/>
    <w:rsid w:val="5DF2741F"/>
    <w:rsid w:val="5E413D91"/>
    <w:rsid w:val="5E7F7895"/>
    <w:rsid w:val="5E92366A"/>
    <w:rsid w:val="5ED40ADE"/>
    <w:rsid w:val="5F192BC5"/>
    <w:rsid w:val="5F261328"/>
    <w:rsid w:val="5F797C86"/>
    <w:rsid w:val="5FB51E90"/>
    <w:rsid w:val="5FC058B5"/>
    <w:rsid w:val="5FEC1C75"/>
    <w:rsid w:val="607F065F"/>
    <w:rsid w:val="61A429C0"/>
    <w:rsid w:val="61B37758"/>
    <w:rsid w:val="61CC1E53"/>
    <w:rsid w:val="61DA7617"/>
    <w:rsid w:val="61EA56B3"/>
    <w:rsid w:val="62327BDE"/>
    <w:rsid w:val="623A3417"/>
    <w:rsid w:val="62B44FFF"/>
    <w:rsid w:val="62F373DE"/>
    <w:rsid w:val="631840FD"/>
    <w:rsid w:val="63222E31"/>
    <w:rsid w:val="632C6FC4"/>
    <w:rsid w:val="637C3691"/>
    <w:rsid w:val="63A47166"/>
    <w:rsid w:val="63DB3165"/>
    <w:rsid w:val="63EF7B55"/>
    <w:rsid w:val="63FD189B"/>
    <w:rsid w:val="6408062D"/>
    <w:rsid w:val="64480A16"/>
    <w:rsid w:val="6472185A"/>
    <w:rsid w:val="64731455"/>
    <w:rsid w:val="64A439A6"/>
    <w:rsid w:val="64F94FB6"/>
    <w:rsid w:val="65501C97"/>
    <w:rsid w:val="65694370"/>
    <w:rsid w:val="65800D41"/>
    <w:rsid w:val="65870591"/>
    <w:rsid w:val="659538A5"/>
    <w:rsid w:val="65A00C47"/>
    <w:rsid w:val="65A53562"/>
    <w:rsid w:val="65BE2C69"/>
    <w:rsid w:val="6611216B"/>
    <w:rsid w:val="66113DAE"/>
    <w:rsid w:val="661B3092"/>
    <w:rsid w:val="662C12FA"/>
    <w:rsid w:val="66315729"/>
    <w:rsid w:val="66887A48"/>
    <w:rsid w:val="66E35DDB"/>
    <w:rsid w:val="671059A6"/>
    <w:rsid w:val="67364DB5"/>
    <w:rsid w:val="67897F92"/>
    <w:rsid w:val="68B22800"/>
    <w:rsid w:val="68B2426B"/>
    <w:rsid w:val="68D25785"/>
    <w:rsid w:val="68D93CAA"/>
    <w:rsid w:val="68EF4B15"/>
    <w:rsid w:val="696F5C56"/>
    <w:rsid w:val="69DD483F"/>
    <w:rsid w:val="6AA865C0"/>
    <w:rsid w:val="6ABF3FDF"/>
    <w:rsid w:val="6B0542A1"/>
    <w:rsid w:val="6B391278"/>
    <w:rsid w:val="6B7D64E9"/>
    <w:rsid w:val="6BC50EB1"/>
    <w:rsid w:val="6C1B186B"/>
    <w:rsid w:val="6C47547B"/>
    <w:rsid w:val="6C5D5B58"/>
    <w:rsid w:val="6C9846B8"/>
    <w:rsid w:val="6D3677E6"/>
    <w:rsid w:val="6D7256A0"/>
    <w:rsid w:val="6DF76589"/>
    <w:rsid w:val="6E5F3C3B"/>
    <w:rsid w:val="6E68124A"/>
    <w:rsid w:val="6E9111BD"/>
    <w:rsid w:val="6EC73EAC"/>
    <w:rsid w:val="6F9873EE"/>
    <w:rsid w:val="700B7BF8"/>
    <w:rsid w:val="70311D20"/>
    <w:rsid w:val="70342CA5"/>
    <w:rsid w:val="705C6010"/>
    <w:rsid w:val="708E6837"/>
    <w:rsid w:val="70CF39EC"/>
    <w:rsid w:val="71A43E00"/>
    <w:rsid w:val="71A74D85"/>
    <w:rsid w:val="71C3429E"/>
    <w:rsid w:val="71DB6272"/>
    <w:rsid w:val="71FB4EB1"/>
    <w:rsid w:val="720A37A4"/>
    <w:rsid w:val="7246140B"/>
    <w:rsid w:val="7271224F"/>
    <w:rsid w:val="729D0FE4"/>
    <w:rsid w:val="72AF4F68"/>
    <w:rsid w:val="72C3276F"/>
    <w:rsid w:val="72F5331B"/>
    <w:rsid w:val="730F3052"/>
    <w:rsid w:val="73944C37"/>
    <w:rsid w:val="73AF2DAD"/>
    <w:rsid w:val="73DC4E36"/>
    <w:rsid w:val="741710A4"/>
    <w:rsid w:val="741E2752"/>
    <w:rsid w:val="749E3893"/>
    <w:rsid w:val="74D31A39"/>
    <w:rsid w:val="74DA13C4"/>
    <w:rsid w:val="74F60CF4"/>
    <w:rsid w:val="7507358D"/>
    <w:rsid w:val="756F513B"/>
    <w:rsid w:val="757A4BD8"/>
    <w:rsid w:val="75CC7A53"/>
    <w:rsid w:val="75D270BD"/>
    <w:rsid w:val="75D31D11"/>
    <w:rsid w:val="76224B19"/>
    <w:rsid w:val="76695ABC"/>
    <w:rsid w:val="76AC4B43"/>
    <w:rsid w:val="76CC1C0D"/>
    <w:rsid w:val="76F23FB2"/>
    <w:rsid w:val="76F73CBD"/>
    <w:rsid w:val="772B2E92"/>
    <w:rsid w:val="783172FE"/>
    <w:rsid w:val="78867FEB"/>
    <w:rsid w:val="78D12BEE"/>
    <w:rsid w:val="78DD270E"/>
    <w:rsid w:val="79652BD2"/>
    <w:rsid w:val="796F00A6"/>
    <w:rsid w:val="7972242B"/>
    <w:rsid w:val="7A1E2361"/>
    <w:rsid w:val="7A4C4C76"/>
    <w:rsid w:val="7A6354C5"/>
    <w:rsid w:val="7A687DE1"/>
    <w:rsid w:val="7A9958FD"/>
    <w:rsid w:val="7B114D77"/>
    <w:rsid w:val="7B675786"/>
    <w:rsid w:val="7BB46811"/>
    <w:rsid w:val="7BBC11CF"/>
    <w:rsid w:val="7BCB5EBF"/>
    <w:rsid w:val="7BE97626"/>
    <w:rsid w:val="7C0D7DE6"/>
    <w:rsid w:val="7CB266A1"/>
    <w:rsid w:val="7D594473"/>
    <w:rsid w:val="7D700A55"/>
    <w:rsid w:val="7D883202"/>
    <w:rsid w:val="7D8E734E"/>
    <w:rsid w:val="7DB17D32"/>
    <w:rsid w:val="7E013DC5"/>
    <w:rsid w:val="7E381D20"/>
    <w:rsid w:val="7E684CD9"/>
    <w:rsid w:val="7E892C55"/>
    <w:rsid w:val="7EBF07E5"/>
    <w:rsid w:val="7EDB3F5C"/>
    <w:rsid w:val="7EE342FA"/>
    <w:rsid w:val="7EEF2481"/>
    <w:rsid w:val="7EF50E24"/>
    <w:rsid w:val="7F0C0DFF"/>
    <w:rsid w:val="7F457BDD"/>
    <w:rsid w:val="7FE761E4"/>
    <w:rsid w:val="7FED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180"/>
      <w:textAlignment w:val="baseline"/>
      <w:outlineLvl w:val="1"/>
    </w:pPr>
    <w:rPr>
      <w:rFonts w:ascii="Arial" w:hAnsi="Arial" w:eastAsia="黑体"/>
      <w:b/>
      <w:sz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link w:val="17"/>
    <w:unhideWhenUsed/>
    <w:qFormat/>
    <w:uiPriority w:val="0"/>
    <w:pPr>
      <w:ind w:firstLine="420" w:firstLineChars="200"/>
    </w:pPr>
    <w:rPr>
      <w:rFonts w:ascii="Calibri" w:hAnsi="Calibri"/>
    </w:rPr>
  </w:style>
  <w:style w:type="paragraph" w:styleId="4">
    <w:name w:val="toa heading"/>
    <w:basedOn w:val="1"/>
    <w:next w:val="1"/>
    <w:unhideWhenUsed/>
    <w:qFormat/>
    <w:uiPriority w:val="99"/>
    <w:pPr>
      <w:spacing w:before="120"/>
    </w:pPr>
    <w:rPr>
      <w:rFonts w:ascii="Cambria" w:hAnsi="Cambria" w:cs="Times New Roman"/>
      <w:sz w:val="24"/>
    </w:rPr>
  </w:style>
  <w:style w:type="paragraph" w:styleId="5">
    <w:name w:val="annotation text"/>
    <w:basedOn w:val="1"/>
    <w:link w:val="18"/>
    <w:unhideWhenUsed/>
    <w:qFormat/>
    <w:uiPriority w:val="99"/>
    <w:pPr>
      <w:jc w:val="left"/>
    </w:pPr>
  </w:style>
  <w:style w:type="paragraph" w:styleId="6">
    <w:name w:val="Body Text"/>
    <w:basedOn w:val="1"/>
    <w:link w:val="19"/>
    <w:qFormat/>
    <w:uiPriority w:val="0"/>
    <w:pPr>
      <w:spacing w:after="120"/>
    </w:pPr>
  </w:style>
  <w:style w:type="paragraph" w:styleId="7">
    <w:name w:val="Balloon Text"/>
    <w:basedOn w:val="1"/>
    <w:link w:val="20"/>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3"/>
    <w:unhideWhenUsed/>
    <w:qFormat/>
    <w:uiPriority w:val="99"/>
    <w:rPr>
      <w:b/>
      <w:bCs/>
    </w:rPr>
  </w:style>
  <w:style w:type="table" w:styleId="13">
    <w:name w:val="Table Grid"/>
    <w:basedOn w:val="12"/>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unhideWhenUsed/>
    <w:qFormat/>
    <w:uiPriority w:val="99"/>
    <w:rPr>
      <w:color w:val="0000FF"/>
      <w:u w:val="single"/>
    </w:rPr>
  </w:style>
  <w:style w:type="character" w:styleId="16">
    <w:name w:val="annotation reference"/>
    <w:unhideWhenUsed/>
    <w:qFormat/>
    <w:uiPriority w:val="99"/>
    <w:rPr>
      <w:rFonts w:cs="Times New Roman"/>
      <w:sz w:val="21"/>
      <w:szCs w:val="21"/>
    </w:rPr>
  </w:style>
  <w:style w:type="character" w:customStyle="1" w:styleId="17">
    <w:name w:val="正文缩进 Char"/>
    <w:link w:val="3"/>
    <w:qFormat/>
    <w:uiPriority w:val="0"/>
    <w:rPr>
      <w:rFonts w:ascii="Calibri" w:hAnsi="Calibri" w:eastAsia="宋体"/>
      <w:kern w:val="2"/>
      <w:sz w:val="21"/>
      <w:szCs w:val="24"/>
    </w:rPr>
  </w:style>
  <w:style w:type="character" w:customStyle="1" w:styleId="18">
    <w:name w:val="批注文字 Char"/>
    <w:basedOn w:val="14"/>
    <w:link w:val="5"/>
    <w:semiHidden/>
    <w:qFormat/>
    <w:uiPriority w:val="99"/>
    <w:rPr>
      <w:rFonts w:ascii="Times New Roman" w:hAnsi="Times New Roman" w:eastAsia="宋体"/>
      <w:kern w:val="2"/>
      <w:sz w:val="21"/>
      <w:szCs w:val="24"/>
    </w:rPr>
  </w:style>
  <w:style w:type="character" w:customStyle="1" w:styleId="19">
    <w:name w:val="正文文本 Char"/>
    <w:basedOn w:val="14"/>
    <w:link w:val="6"/>
    <w:qFormat/>
    <w:uiPriority w:val="0"/>
    <w:rPr>
      <w:rFonts w:ascii="Times New Roman" w:hAnsi="Times New Roman" w:eastAsia="宋体"/>
      <w:kern w:val="2"/>
      <w:sz w:val="21"/>
      <w:szCs w:val="24"/>
    </w:rPr>
  </w:style>
  <w:style w:type="character" w:customStyle="1" w:styleId="20">
    <w:name w:val="批注框文本 Char"/>
    <w:basedOn w:val="14"/>
    <w:link w:val="7"/>
    <w:semiHidden/>
    <w:qFormat/>
    <w:uiPriority w:val="99"/>
    <w:rPr>
      <w:rFonts w:ascii="Times New Roman" w:hAnsi="Times New Roman" w:eastAsia="宋体"/>
      <w:kern w:val="2"/>
      <w:sz w:val="18"/>
      <w:szCs w:val="18"/>
    </w:rPr>
  </w:style>
  <w:style w:type="character" w:customStyle="1" w:styleId="21">
    <w:name w:val="页脚 Char"/>
    <w:link w:val="8"/>
    <w:qFormat/>
    <w:uiPriority w:val="99"/>
    <w:rPr>
      <w:rFonts w:ascii="Times New Roman" w:hAnsi="Times New Roman" w:eastAsia="宋体" w:cs="Times New Roman"/>
      <w:sz w:val="18"/>
      <w:szCs w:val="18"/>
    </w:rPr>
  </w:style>
  <w:style w:type="character" w:customStyle="1" w:styleId="22">
    <w:name w:val="页眉 Char"/>
    <w:link w:val="9"/>
    <w:qFormat/>
    <w:uiPriority w:val="99"/>
    <w:rPr>
      <w:rFonts w:ascii="Times New Roman" w:hAnsi="Times New Roman" w:eastAsia="宋体" w:cs="Times New Roman"/>
      <w:sz w:val="18"/>
      <w:szCs w:val="18"/>
    </w:rPr>
  </w:style>
  <w:style w:type="character" w:customStyle="1" w:styleId="23">
    <w:name w:val="批注主题 Char"/>
    <w:basedOn w:val="18"/>
    <w:link w:val="11"/>
    <w:semiHidden/>
    <w:qFormat/>
    <w:uiPriority w:val="99"/>
    <w:rPr>
      <w:rFonts w:ascii="Times New Roman" w:hAnsi="Times New Roman" w:eastAsia="宋体"/>
      <w:b/>
      <w:bCs/>
      <w:kern w:val="2"/>
      <w:sz w:val="21"/>
      <w:szCs w:val="24"/>
    </w:rPr>
  </w:style>
  <w:style w:type="paragraph" w:customStyle="1" w:styleId="24">
    <w:name w:val="Table Paragraph"/>
    <w:basedOn w:val="1"/>
    <w:qFormat/>
    <w:uiPriority w:val="1"/>
    <w:pPr>
      <w:autoSpaceDE w:val="0"/>
      <w:autoSpaceDN w:val="0"/>
      <w:adjustRightInd w:val="0"/>
      <w:jc w:val="left"/>
    </w:pPr>
    <w:rPr>
      <w:rFonts w:ascii="宋体" w:cs="宋体"/>
      <w:kern w:val="0"/>
      <w:sz w:val="24"/>
    </w:rPr>
  </w:style>
  <w:style w:type="paragraph" w:customStyle="1" w:styleId="25">
    <w:name w:val="样式4"/>
    <w:basedOn w:val="1"/>
    <w:qFormat/>
    <w:uiPriority w:val="0"/>
    <w:pPr>
      <w:tabs>
        <w:tab w:val="left" w:pos="2328"/>
      </w:tabs>
      <w:ind w:left="2328" w:hanging="708"/>
    </w:pPr>
  </w:style>
  <w:style w:type="character" w:customStyle="1" w:styleId="26">
    <w:name w:val="font11"/>
    <w:qFormat/>
    <w:uiPriority w:val="0"/>
    <w:rPr>
      <w:rFonts w:hint="default" w:ascii="Times New Roman" w:hAnsi="Times New Roman" w:cs="Times New Roman"/>
      <w:color w:val="000000"/>
      <w:sz w:val="24"/>
      <w:szCs w:val="24"/>
      <w:u w:val="none"/>
    </w:rPr>
  </w:style>
  <w:style w:type="character" w:customStyle="1" w:styleId="27">
    <w:name w:val="font21"/>
    <w:qFormat/>
    <w:uiPriority w:val="0"/>
    <w:rPr>
      <w:rFonts w:ascii="Arial" w:hAnsi="Arial" w:cs="Arial"/>
      <w:color w:val="000000"/>
      <w:sz w:val="21"/>
      <w:szCs w:val="21"/>
      <w:u w:val="none"/>
    </w:rPr>
  </w:style>
  <w:style w:type="paragraph" w:customStyle="1" w:styleId="28">
    <w:name w:val="正文cl"/>
    <w:basedOn w:val="1"/>
    <w:qFormat/>
    <w:uiPriority w:val="0"/>
    <w:pPr>
      <w:snapToGrid w:val="0"/>
      <w:spacing w:line="360" w:lineRule="auto"/>
      <w:ind w:firstLine="600" w:firstLineChars="200"/>
    </w:pPr>
    <w:rPr>
      <w:rFonts w:ascii="Tahoma" w:hAnsi="Tahoma" w:eastAsia="仿宋_GB2312" w:cs="宋体"/>
      <w:sz w:val="30"/>
      <w:szCs w:val="20"/>
    </w:rPr>
  </w:style>
  <w:style w:type="paragraph" w:styleId="29">
    <w:name w:val="List Paragraph"/>
    <w:basedOn w:val="1"/>
    <w:qFormat/>
    <w:uiPriority w:val="99"/>
    <w:pPr>
      <w:ind w:firstLine="420" w:firstLineChars="200"/>
    </w:pPr>
  </w:style>
  <w:style w:type="paragraph" w:customStyle="1" w:styleId="30">
    <w:name w:val="Char1"/>
    <w:basedOn w:val="1"/>
    <w:qFormat/>
    <w:uiPriority w:val="0"/>
    <w:pPr>
      <w:ind w:firstLine="480" w:firstLineChars="200"/>
    </w:pPr>
    <w:rPr>
      <w:rFonts w:eastAsia="仿宋"/>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644</Words>
  <Characters>3675</Characters>
  <Lines>30</Lines>
  <Paragraphs>8</Paragraphs>
  <TotalTime>97</TotalTime>
  <ScaleCrop>false</ScaleCrop>
  <LinksUpToDate>false</LinksUpToDate>
  <CharactersWithSpaces>4311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杨家丰</cp:lastModifiedBy>
  <dcterms:modified xsi:type="dcterms:W3CDTF">2025-06-09T08:40:22Z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B4FEABF75ECA46F5BA44A18BD43E6353</vt:lpwstr>
  </property>
</Properties>
</file>