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2"/>
          <w:szCs w:val="32"/>
        </w:rPr>
      </w:pPr>
      <w:r>
        <w:rPr>
          <w:rFonts w:hint="eastAsia" w:ascii="宋体" w:hAnsi="宋体"/>
          <w:b/>
          <w:sz w:val="32"/>
          <w:szCs w:val="32"/>
        </w:rPr>
        <w:t>东莞农村商业银行需求结构化管理系统项目</w:t>
      </w:r>
    </w:p>
    <w:p>
      <w:pPr>
        <w:spacing w:line="360" w:lineRule="auto"/>
        <w:jc w:val="center"/>
        <w:rPr>
          <w:rFonts w:ascii="宋体" w:hAnsi="宋体"/>
          <w:b/>
          <w:sz w:val="32"/>
          <w:szCs w:val="32"/>
        </w:rPr>
      </w:pPr>
      <w:r>
        <w:rPr>
          <w:rFonts w:hint="eastAsia" w:ascii="宋体" w:hAnsi="宋体"/>
          <w:b/>
          <w:sz w:val="32"/>
          <w:szCs w:val="32"/>
        </w:rPr>
        <w:t>市场调研项目需求</w:t>
      </w:r>
    </w:p>
    <w:p>
      <w:pPr>
        <w:spacing w:line="360" w:lineRule="auto"/>
        <w:rPr>
          <w:rFonts w:ascii="宋体" w:hAnsi="宋体"/>
          <w:b/>
          <w:szCs w:val="21"/>
        </w:rPr>
      </w:pPr>
    </w:p>
    <w:p>
      <w:pPr>
        <w:spacing w:line="360" w:lineRule="auto"/>
        <w:rPr>
          <w:rFonts w:ascii="宋体" w:hAnsi="宋体" w:cs="宋体"/>
          <w:b/>
          <w:szCs w:val="21"/>
        </w:rPr>
      </w:pPr>
      <w:r>
        <w:rPr>
          <w:rFonts w:hint="eastAsia" w:ascii="宋体" w:hAnsi="宋体" w:cs="宋体"/>
          <w:b/>
          <w:szCs w:val="21"/>
        </w:rPr>
        <w:t>一、项目信息</w:t>
      </w:r>
    </w:p>
    <w:p>
      <w:pPr>
        <w:widowControl/>
        <w:spacing w:line="360" w:lineRule="auto"/>
        <w:ind w:firstLine="420" w:firstLineChars="200"/>
        <w:rPr>
          <w:rFonts w:ascii="宋体" w:hAnsi="宋体" w:cs="宋体"/>
          <w:bCs/>
          <w:szCs w:val="21"/>
        </w:rPr>
      </w:pPr>
      <w:r>
        <w:rPr>
          <w:rFonts w:hint="eastAsia" w:ascii="宋体" w:hAnsi="宋体" w:cs="宋体"/>
          <w:bCs/>
          <w:szCs w:val="21"/>
        </w:rPr>
        <w:t>项目名称：东莞农村商业银行需求结构化管理系统项目</w:t>
      </w:r>
    </w:p>
    <w:p>
      <w:pPr>
        <w:widowControl/>
        <w:spacing w:line="360" w:lineRule="auto"/>
        <w:ind w:firstLine="420" w:firstLineChars="200"/>
        <w:rPr>
          <w:rFonts w:ascii="宋体" w:hAnsi="宋体" w:cs="宋体"/>
          <w:bCs/>
          <w:szCs w:val="21"/>
        </w:rPr>
      </w:pPr>
      <w:r>
        <w:rPr>
          <w:rFonts w:hint="eastAsia" w:ascii="宋体" w:hAnsi="宋体" w:cs="宋体"/>
          <w:bCs/>
          <w:szCs w:val="21"/>
        </w:rPr>
        <w:t>采购人：东莞农村商业银行股份有限公司</w:t>
      </w:r>
    </w:p>
    <w:p>
      <w:pPr>
        <w:widowControl/>
        <w:spacing w:line="360" w:lineRule="auto"/>
        <w:ind w:firstLine="420" w:firstLineChars="200"/>
        <w:rPr>
          <w:rFonts w:ascii="宋体" w:hAnsi="宋体" w:cs="宋体"/>
          <w:bCs/>
          <w:szCs w:val="21"/>
        </w:rPr>
      </w:pPr>
      <w:r>
        <w:rPr>
          <w:rFonts w:hint="eastAsia" w:ascii="宋体" w:hAnsi="宋体" w:cs="宋体"/>
          <w:bCs/>
          <w:szCs w:val="21"/>
        </w:rPr>
        <w:t>项目概算：暂无</w:t>
      </w:r>
    </w:p>
    <w:p>
      <w:pPr>
        <w:widowControl/>
        <w:spacing w:line="360" w:lineRule="auto"/>
        <w:ind w:firstLine="420" w:firstLineChars="200"/>
        <w:rPr>
          <w:rFonts w:ascii="宋体" w:hAnsi="宋体" w:cs="宋体"/>
          <w:bCs/>
          <w:szCs w:val="21"/>
        </w:rPr>
      </w:pPr>
      <w:r>
        <w:rPr>
          <w:rFonts w:hint="eastAsia" w:ascii="宋体" w:hAnsi="宋体" w:cs="宋体"/>
          <w:bCs/>
          <w:szCs w:val="21"/>
        </w:rPr>
        <w:t>项目预计采购时间：2023年7月</w:t>
      </w:r>
    </w:p>
    <w:p>
      <w:pPr>
        <w:widowControl/>
        <w:spacing w:line="360" w:lineRule="auto"/>
        <w:ind w:firstLine="420" w:firstLineChars="200"/>
        <w:rPr>
          <w:rFonts w:ascii="宋体" w:hAnsi="宋体" w:cs="宋体"/>
          <w:bCs/>
          <w:szCs w:val="21"/>
        </w:rPr>
      </w:pPr>
      <w:r>
        <w:rPr>
          <w:rFonts w:hint="eastAsia" w:ascii="宋体" w:hAnsi="宋体" w:cs="宋体"/>
          <w:bCs/>
          <w:szCs w:val="21"/>
          <w:highlight w:val="none"/>
        </w:rPr>
        <w:t>项目工期要求：项目总工期8个月，分为两个阶段。第一阶段为4个月，需完成咨询服务、基础功能开发投产，完成部分资产入库；第二阶段为4个月，完成全部功能上线，逐步解决相关系统测试、试运行等问题，逐步完成资产入库，基本</w:t>
      </w:r>
      <w:r>
        <w:rPr>
          <w:rFonts w:hint="eastAsia" w:ascii="宋体" w:hAnsi="宋体" w:cs="宋体"/>
          <w:kern w:val="0"/>
          <w:szCs w:val="21"/>
          <w:highlight w:val="none"/>
        </w:rPr>
        <w:t>实现项目目标</w:t>
      </w:r>
      <w:r>
        <w:rPr>
          <w:rFonts w:hint="eastAsia" w:ascii="宋体" w:hAnsi="宋体" w:cs="宋体"/>
          <w:bCs/>
          <w:szCs w:val="21"/>
          <w:highlight w:val="none"/>
        </w:rPr>
        <w:t>。</w:t>
      </w:r>
    </w:p>
    <w:p>
      <w:pPr>
        <w:widowControl/>
        <w:spacing w:line="360" w:lineRule="auto"/>
        <w:ind w:firstLine="420" w:firstLineChars="200"/>
        <w:rPr>
          <w:rFonts w:ascii="宋体" w:hAnsi="宋体" w:cs="宋体"/>
          <w:bCs/>
          <w:szCs w:val="21"/>
        </w:rPr>
      </w:pPr>
      <w:r>
        <w:rPr>
          <w:rFonts w:hint="eastAsia" w:ascii="宋体" w:hAnsi="宋体" w:cs="宋体"/>
          <w:bCs/>
          <w:szCs w:val="21"/>
        </w:rPr>
        <w:t>维保服务期：项目免费维护1年。</w:t>
      </w:r>
    </w:p>
    <w:p>
      <w:pPr>
        <w:widowControl/>
        <w:spacing w:line="360" w:lineRule="auto"/>
        <w:ind w:firstLine="420" w:firstLineChars="200"/>
        <w:rPr>
          <w:rFonts w:ascii="宋体" w:hAnsi="宋体" w:cs="宋体"/>
          <w:bCs/>
          <w:szCs w:val="21"/>
        </w:rPr>
      </w:pPr>
      <w:r>
        <w:rPr>
          <w:rFonts w:hint="eastAsia" w:ascii="宋体" w:hAnsi="宋体" w:cs="宋体"/>
          <w:bCs/>
          <w:szCs w:val="21"/>
          <w:highlight w:val="none"/>
        </w:rPr>
        <w:t>注意：本次公告属于项目市场调研需求，上述预计采购时间只是采购人根据自身计划所作估计，并不代表后续任何实质性承诺；另外，本次项目需求调研，属于采购人对外寻找相关符合要求的供应商进行交流的意向，并不代表采购人对供应商的任何承诺，后续采购人将根据自身计划进行项目采购。供应商或后续参与交流的供应商并不代表已获得采购人的认可或获得任何参与后续项目投标、合同方面的承诺。本次项目调研采购人将根据供应商提交的资料情况</w:t>
      </w:r>
      <w:r>
        <w:rPr>
          <w:rFonts w:hint="eastAsia" w:ascii="宋体" w:hAnsi="宋体" w:cs="宋体"/>
          <w:bCs/>
          <w:szCs w:val="21"/>
        </w:rPr>
        <w:t>，择优选择供应商进行现场或线上交流。</w:t>
      </w:r>
    </w:p>
    <w:p>
      <w:pPr>
        <w:spacing w:line="360" w:lineRule="auto"/>
        <w:rPr>
          <w:rFonts w:ascii="宋体" w:hAnsi="宋体" w:cs="宋体"/>
          <w:b/>
          <w:szCs w:val="21"/>
        </w:rPr>
      </w:pPr>
      <w:r>
        <w:rPr>
          <w:rFonts w:hint="eastAsia" w:ascii="宋体" w:hAnsi="宋体" w:cs="宋体"/>
          <w:b/>
          <w:szCs w:val="21"/>
        </w:rPr>
        <w:t>二、项目背景</w:t>
      </w:r>
    </w:p>
    <w:p>
      <w:pPr>
        <w:spacing w:line="360" w:lineRule="auto"/>
        <w:ind w:firstLine="420" w:firstLineChars="200"/>
        <w:rPr>
          <w:rFonts w:ascii="宋体" w:hAnsi="宋体" w:cs="宋体"/>
          <w:szCs w:val="21"/>
        </w:rPr>
      </w:pPr>
      <w:r>
        <w:rPr>
          <w:rFonts w:hint="eastAsia" w:ascii="宋体" w:hAnsi="宋体" w:cs="宋体"/>
          <w:szCs w:val="21"/>
        </w:rPr>
        <w:t>我行已初步形成产品管理的工作思路，但仍不够体系化，同时我行系统建设周期跨度大，系统较多，大部分没有建立需求相关的基线，未形成需求资产库，在需求澄清过程花费时间较多，业务、技术人员均需要投入较多精力。为配合全行数字化转型，推动产品经理制有效运作，实现需求管理标准化、数字化，全面提升需求开发质效，现开展需求结构化管理系统项目市场调研，欢迎愿意参加本项目市场调研的潜在供应商（本次项目需求的供应商指同时</w:t>
      </w:r>
      <w:r>
        <w:rPr>
          <w:rFonts w:hint="eastAsia" w:ascii="宋体" w:hAnsi="宋体" w:cs="宋体"/>
          <w:color w:val="000000"/>
          <w:szCs w:val="21"/>
        </w:rPr>
        <w:t>具备需求结构化管理相关业务咨询和系统开发能力的公司</w:t>
      </w:r>
      <w:r>
        <w:rPr>
          <w:rFonts w:hint="eastAsia" w:ascii="宋体" w:hAnsi="宋体" w:cs="宋体"/>
          <w:szCs w:val="21"/>
        </w:rPr>
        <w:t>），提供市场调研资料。</w:t>
      </w:r>
    </w:p>
    <w:p>
      <w:pPr>
        <w:spacing w:line="360" w:lineRule="auto"/>
        <w:rPr>
          <w:rFonts w:ascii="宋体" w:hAnsi="宋体" w:cs="宋体"/>
          <w:b/>
          <w:szCs w:val="21"/>
        </w:rPr>
      </w:pPr>
      <w:r>
        <w:rPr>
          <w:rFonts w:hint="eastAsia" w:ascii="宋体" w:hAnsi="宋体" w:cs="宋体"/>
          <w:b/>
          <w:szCs w:val="21"/>
        </w:rPr>
        <w:t>三、项目目标</w:t>
      </w:r>
    </w:p>
    <w:p>
      <w:pPr>
        <w:spacing w:line="360" w:lineRule="auto"/>
        <w:ind w:firstLine="105" w:firstLineChars="50"/>
        <w:rPr>
          <w:rFonts w:ascii="宋体" w:hAnsi="宋体" w:cs="宋体"/>
          <w:szCs w:val="21"/>
        </w:rPr>
      </w:pPr>
      <w:r>
        <w:rPr>
          <w:rFonts w:hint="eastAsia" w:ascii="宋体" w:hAnsi="宋体" w:cs="宋体"/>
          <w:szCs w:val="21"/>
        </w:rPr>
        <w:t>（一）系统目标</w:t>
      </w:r>
    </w:p>
    <w:p>
      <w:pPr>
        <w:spacing w:line="360" w:lineRule="auto"/>
        <w:ind w:firstLine="420" w:firstLineChars="200"/>
        <w:rPr>
          <w:rFonts w:ascii="宋体" w:hAnsi="宋体" w:cs="宋体"/>
          <w:szCs w:val="21"/>
        </w:rPr>
      </w:pPr>
      <w:r>
        <w:rPr>
          <w:rFonts w:hint="eastAsia" w:ascii="宋体" w:hAnsi="宋体" w:cs="宋体"/>
          <w:szCs w:val="21"/>
        </w:rPr>
        <w:t>1.实现需求资产沉淀（需求条目、关联、全景及可追溯）；</w:t>
      </w:r>
    </w:p>
    <w:p>
      <w:pPr>
        <w:spacing w:line="360" w:lineRule="auto"/>
        <w:ind w:firstLine="420" w:firstLineChars="200"/>
        <w:rPr>
          <w:rFonts w:ascii="宋体" w:hAnsi="宋体" w:cs="宋体"/>
          <w:szCs w:val="21"/>
        </w:rPr>
      </w:pPr>
      <w:r>
        <w:rPr>
          <w:rFonts w:hint="eastAsia" w:ascii="宋体" w:hAnsi="宋体" w:cs="宋体"/>
          <w:szCs w:val="21"/>
        </w:rPr>
        <w:t>2.实现快速、简便、高质量地需求文档交付；</w:t>
      </w:r>
    </w:p>
    <w:p>
      <w:pPr>
        <w:spacing w:line="360" w:lineRule="auto"/>
        <w:ind w:firstLine="420" w:firstLineChars="200"/>
        <w:rPr>
          <w:rFonts w:ascii="宋体" w:hAnsi="宋体" w:cs="宋体"/>
          <w:szCs w:val="21"/>
        </w:rPr>
      </w:pPr>
      <w:r>
        <w:rPr>
          <w:rFonts w:hint="eastAsia" w:ascii="宋体" w:hAnsi="宋体" w:cs="宋体"/>
          <w:szCs w:val="21"/>
        </w:rPr>
        <w:t>3.实现可视化、可跟踪地需求跟踪管理。</w:t>
      </w:r>
    </w:p>
    <w:p>
      <w:pPr>
        <w:spacing w:line="360" w:lineRule="auto"/>
        <w:ind w:firstLine="105" w:firstLineChars="50"/>
        <w:rPr>
          <w:rFonts w:ascii="宋体" w:hAnsi="宋体" w:cs="宋体"/>
          <w:szCs w:val="21"/>
        </w:rPr>
      </w:pPr>
      <w:r>
        <w:rPr>
          <w:rFonts w:hint="eastAsia" w:ascii="宋体" w:hAnsi="宋体" w:cs="宋体"/>
          <w:szCs w:val="21"/>
        </w:rPr>
        <w:t>（二）管理目标</w:t>
      </w:r>
    </w:p>
    <w:p>
      <w:pPr>
        <w:spacing w:line="360" w:lineRule="auto"/>
        <w:ind w:firstLine="420" w:firstLineChars="200"/>
        <w:rPr>
          <w:rFonts w:ascii="宋体" w:hAnsi="宋体" w:cs="宋体"/>
          <w:szCs w:val="21"/>
        </w:rPr>
      </w:pPr>
      <w:r>
        <w:rPr>
          <w:rFonts w:hint="eastAsia" w:ascii="宋体" w:hAnsi="宋体" w:cs="宋体"/>
          <w:szCs w:val="21"/>
        </w:rPr>
        <w:t>1.实现需求全过程管理（落实组织、流程、条线化管理）；</w:t>
      </w:r>
    </w:p>
    <w:p>
      <w:pPr>
        <w:spacing w:line="360" w:lineRule="auto"/>
        <w:ind w:firstLine="420" w:firstLineChars="200"/>
        <w:rPr>
          <w:rFonts w:ascii="宋体" w:hAnsi="宋体" w:cs="宋体"/>
          <w:b/>
          <w:szCs w:val="21"/>
        </w:rPr>
      </w:pPr>
      <w:r>
        <w:rPr>
          <w:rFonts w:hint="eastAsia" w:ascii="宋体" w:hAnsi="宋体" w:cs="宋体"/>
          <w:szCs w:val="21"/>
        </w:rPr>
        <w:t>2.实现产品全生命周期管理（落实产品经理制）。</w:t>
      </w:r>
    </w:p>
    <w:p>
      <w:pPr>
        <w:spacing w:line="360" w:lineRule="auto"/>
        <w:rPr>
          <w:rFonts w:ascii="宋体" w:hAnsi="宋体" w:cs="宋体"/>
          <w:b/>
          <w:bCs/>
          <w:szCs w:val="21"/>
        </w:rPr>
      </w:pPr>
      <w:r>
        <w:rPr>
          <w:rFonts w:hint="eastAsia" w:ascii="宋体" w:hAnsi="宋体" w:cs="宋体"/>
          <w:b/>
          <w:szCs w:val="21"/>
        </w:rPr>
        <w:t>四、</w:t>
      </w:r>
      <w:r>
        <w:rPr>
          <w:rFonts w:hint="eastAsia" w:ascii="宋体" w:hAnsi="宋体" w:cs="宋体"/>
          <w:b/>
          <w:bCs/>
          <w:szCs w:val="21"/>
        </w:rPr>
        <w:t>项目内容</w:t>
      </w:r>
    </w:p>
    <w:p>
      <w:pPr>
        <w:spacing w:line="360" w:lineRule="auto"/>
        <w:ind w:firstLine="105" w:firstLineChars="50"/>
        <w:rPr>
          <w:rFonts w:ascii="宋体" w:hAnsi="宋体" w:cs="宋体"/>
          <w:szCs w:val="21"/>
        </w:rPr>
      </w:pPr>
      <w:r>
        <w:rPr>
          <w:rFonts w:hint="eastAsia" w:ascii="宋体" w:hAnsi="宋体" w:cs="宋体"/>
          <w:szCs w:val="21"/>
        </w:rPr>
        <w:t>（一）业务需求如下：</w:t>
      </w:r>
    </w:p>
    <w:tbl>
      <w:tblPr>
        <w:tblStyle w:val="12"/>
        <w:tblW w:w="9165" w:type="dxa"/>
        <w:jc w:val="center"/>
        <w:tblLayout w:type="autofit"/>
        <w:tblCellMar>
          <w:top w:w="0" w:type="dxa"/>
          <w:left w:w="108" w:type="dxa"/>
          <w:bottom w:w="0" w:type="dxa"/>
          <w:right w:w="108" w:type="dxa"/>
        </w:tblCellMar>
      </w:tblPr>
      <w:tblGrid>
        <w:gridCol w:w="1006"/>
        <w:gridCol w:w="1559"/>
        <w:gridCol w:w="1843"/>
        <w:gridCol w:w="4757"/>
      </w:tblGrid>
      <w:tr>
        <w:tblPrEx>
          <w:tblCellMar>
            <w:top w:w="0" w:type="dxa"/>
            <w:left w:w="108" w:type="dxa"/>
            <w:bottom w:w="0" w:type="dxa"/>
            <w:right w:w="108" w:type="dxa"/>
          </w:tblCellMar>
        </w:tblPrEx>
        <w:trPr>
          <w:trHeight w:val="480" w:hRule="atLeast"/>
          <w:jc w:val="center"/>
        </w:trPr>
        <w:tc>
          <w:tcPr>
            <w:tcW w:w="1006" w:type="dxa"/>
            <w:tcBorders>
              <w:top w:val="single" w:color="auto" w:sz="4" w:space="0"/>
              <w:left w:val="single" w:color="auto" w:sz="4" w:space="0"/>
              <w:bottom w:val="single" w:color="auto" w:sz="4" w:space="0"/>
              <w:right w:val="single" w:color="auto" w:sz="4" w:space="0"/>
            </w:tcBorders>
            <w:shd w:val="clear" w:color="000000" w:fill="FFFFFF" w:themeFill="background1"/>
            <w:vAlign w:val="center"/>
          </w:tcPr>
          <w:p>
            <w:pPr>
              <w:widowControl/>
              <w:jc w:val="center"/>
              <w:rPr>
                <w:rFonts w:ascii="宋体" w:hAnsi="宋体" w:cs="宋体"/>
                <w:b/>
                <w:bCs/>
                <w:kern w:val="0"/>
                <w:szCs w:val="21"/>
              </w:rPr>
            </w:pPr>
            <w:r>
              <w:rPr>
                <w:rFonts w:hint="eastAsia" w:ascii="宋体" w:hAnsi="宋体" w:cs="宋体"/>
                <w:b/>
                <w:bCs/>
                <w:kern w:val="0"/>
                <w:szCs w:val="21"/>
              </w:rPr>
              <w:t>一级</w:t>
            </w:r>
          </w:p>
          <w:p>
            <w:pPr>
              <w:widowControl/>
              <w:jc w:val="center"/>
              <w:rPr>
                <w:rFonts w:ascii="宋体" w:hAnsi="宋体" w:cs="宋体"/>
                <w:b/>
                <w:bCs/>
                <w:kern w:val="0"/>
                <w:szCs w:val="21"/>
              </w:rPr>
            </w:pPr>
            <w:r>
              <w:rPr>
                <w:rFonts w:hint="eastAsia" w:ascii="宋体" w:hAnsi="宋体" w:cs="宋体"/>
                <w:b/>
                <w:bCs/>
                <w:kern w:val="0"/>
                <w:szCs w:val="21"/>
              </w:rPr>
              <w:t>功能</w:t>
            </w:r>
          </w:p>
        </w:tc>
        <w:tc>
          <w:tcPr>
            <w:tcW w:w="1559" w:type="dxa"/>
            <w:tcBorders>
              <w:top w:val="single" w:color="auto" w:sz="4" w:space="0"/>
              <w:left w:val="nil"/>
              <w:bottom w:val="single" w:color="auto" w:sz="4" w:space="0"/>
              <w:right w:val="single" w:color="auto" w:sz="4" w:space="0"/>
            </w:tcBorders>
            <w:shd w:val="clear" w:color="000000" w:fill="FFFFFF" w:themeFill="background1"/>
            <w:vAlign w:val="center"/>
          </w:tcPr>
          <w:p>
            <w:pPr>
              <w:widowControl/>
              <w:jc w:val="center"/>
              <w:rPr>
                <w:rFonts w:ascii="宋体" w:hAnsi="宋体" w:cs="宋体"/>
                <w:b/>
                <w:bCs/>
                <w:kern w:val="0"/>
                <w:szCs w:val="21"/>
              </w:rPr>
            </w:pPr>
            <w:r>
              <w:rPr>
                <w:rFonts w:hint="eastAsia" w:ascii="宋体" w:hAnsi="宋体" w:cs="宋体"/>
                <w:b/>
                <w:bCs/>
                <w:kern w:val="0"/>
                <w:szCs w:val="21"/>
              </w:rPr>
              <w:t>二级</w:t>
            </w:r>
          </w:p>
          <w:p>
            <w:pPr>
              <w:widowControl/>
              <w:jc w:val="center"/>
              <w:rPr>
                <w:rFonts w:ascii="宋体" w:hAnsi="宋体" w:cs="宋体"/>
                <w:b/>
                <w:bCs/>
                <w:kern w:val="0"/>
                <w:szCs w:val="21"/>
              </w:rPr>
            </w:pPr>
            <w:r>
              <w:rPr>
                <w:rFonts w:hint="eastAsia" w:ascii="宋体" w:hAnsi="宋体" w:cs="宋体"/>
                <w:b/>
                <w:bCs/>
                <w:kern w:val="0"/>
                <w:szCs w:val="21"/>
              </w:rPr>
              <w:t>功能</w:t>
            </w:r>
          </w:p>
        </w:tc>
        <w:tc>
          <w:tcPr>
            <w:tcW w:w="1843" w:type="dxa"/>
            <w:tcBorders>
              <w:top w:val="single" w:color="auto" w:sz="4" w:space="0"/>
              <w:left w:val="nil"/>
              <w:bottom w:val="single" w:color="auto" w:sz="4" w:space="0"/>
              <w:right w:val="single" w:color="auto" w:sz="4" w:space="0"/>
            </w:tcBorders>
            <w:shd w:val="clear" w:color="000000" w:fill="FFFFFF" w:themeFill="background1"/>
            <w:vAlign w:val="center"/>
          </w:tcPr>
          <w:p>
            <w:pPr>
              <w:widowControl/>
              <w:jc w:val="center"/>
              <w:rPr>
                <w:rFonts w:ascii="宋体" w:hAnsi="宋体" w:cs="宋体"/>
                <w:b/>
                <w:bCs/>
                <w:kern w:val="0"/>
                <w:szCs w:val="21"/>
              </w:rPr>
            </w:pPr>
            <w:r>
              <w:rPr>
                <w:rFonts w:hint="eastAsia" w:ascii="宋体" w:hAnsi="宋体" w:cs="宋体"/>
                <w:b/>
                <w:bCs/>
                <w:kern w:val="0"/>
                <w:szCs w:val="21"/>
              </w:rPr>
              <w:t>三级</w:t>
            </w:r>
          </w:p>
          <w:p>
            <w:pPr>
              <w:widowControl/>
              <w:jc w:val="center"/>
              <w:rPr>
                <w:rFonts w:ascii="宋体" w:hAnsi="宋体" w:cs="宋体"/>
                <w:b/>
                <w:bCs/>
                <w:kern w:val="0"/>
                <w:szCs w:val="21"/>
              </w:rPr>
            </w:pPr>
            <w:r>
              <w:rPr>
                <w:rFonts w:hint="eastAsia" w:ascii="宋体" w:hAnsi="宋体" w:cs="宋体"/>
                <w:b/>
                <w:bCs/>
                <w:kern w:val="0"/>
                <w:szCs w:val="21"/>
              </w:rPr>
              <w:t>功能</w:t>
            </w:r>
          </w:p>
        </w:tc>
        <w:tc>
          <w:tcPr>
            <w:tcW w:w="4757" w:type="dxa"/>
            <w:tcBorders>
              <w:top w:val="single" w:color="auto" w:sz="4" w:space="0"/>
              <w:left w:val="nil"/>
              <w:bottom w:val="single" w:color="auto" w:sz="4" w:space="0"/>
              <w:right w:val="single" w:color="auto" w:sz="4" w:space="0"/>
            </w:tcBorders>
            <w:shd w:val="clear" w:color="000000" w:fill="FFFFFF" w:themeFill="background1"/>
            <w:vAlign w:val="center"/>
          </w:tcPr>
          <w:p>
            <w:pPr>
              <w:widowControl/>
              <w:jc w:val="center"/>
              <w:rPr>
                <w:rFonts w:ascii="宋体" w:hAnsi="宋体" w:cs="宋体"/>
                <w:b/>
                <w:bCs/>
                <w:kern w:val="0"/>
                <w:szCs w:val="21"/>
              </w:rPr>
            </w:pPr>
            <w:r>
              <w:rPr>
                <w:rFonts w:hint="eastAsia" w:ascii="宋体" w:hAnsi="宋体" w:cs="宋体"/>
                <w:b/>
                <w:bCs/>
                <w:kern w:val="0"/>
                <w:szCs w:val="21"/>
              </w:rPr>
              <w:t>功能描述</w:t>
            </w:r>
          </w:p>
        </w:tc>
      </w:tr>
      <w:tr>
        <w:tblPrEx>
          <w:tblCellMar>
            <w:top w:w="0" w:type="dxa"/>
            <w:left w:w="108" w:type="dxa"/>
            <w:bottom w:w="0" w:type="dxa"/>
            <w:right w:w="108" w:type="dxa"/>
          </w:tblCellMar>
        </w:tblPrEx>
        <w:trPr>
          <w:trHeight w:val="1200" w:hRule="atLeast"/>
          <w:jc w:val="center"/>
        </w:trPr>
        <w:tc>
          <w:tcPr>
            <w:tcW w:w="100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kern w:val="0"/>
                <w:szCs w:val="21"/>
              </w:rPr>
            </w:pPr>
            <w:r>
              <w:rPr>
                <w:rFonts w:hint="eastAsia" w:ascii="宋体" w:hAnsi="宋体" w:cs="宋体"/>
                <w:b/>
                <w:bCs/>
                <w:kern w:val="0"/>
                <w:szCs w:val="21"/>
              </w:rPr>
              <w:t>个人工作台</w:t>
            </w: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待办</w:t>
            </w:r>
          </w:p>
        </w:tc>
        <w:tc>
          <w:tcPr>
            <w:tcW w:w="1843"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Cs w:val="21"/>
              </w:rPr>
            </w:pPr>
            <w:r>
              <w:rPr>
                <w:rFonts w:hint="eastAsia" w:ascii="宋体" w:hAnsi="宋体" w:cs="宋体"/>
                <w:kern w:val="0"/>
                <w:szCs w:val="21"/>
              </w:rPr>
              <w:t>待办流程、已办流程、我的在办、我代理的待办、我代理的已办、我发起的在办</w:t>
            </w:r>
          </w:p>
        </w:tc>
        <w:tc>
          <w:tcPr>
            <w:tcW w:w="4757" w:type="dxa"/>
            <w:tcBorders>
              <w:top w:val="nil"/>
              <w:left w:val="nil"/>
              <w:bottom w:val="single" w:color="auto" w:sz="4" w:space="0"/>
              <w:right w:val="single" w:color="auto" w:sz="4" w:space="0"/>
            </w:tcBorders>
            <w:shd w:val="clear" w:color="000000" w:fill="FFFFFF"/>
          </w:tcPr>
          <w:p>
            <w:pPr>
              <w:widowControl/>
              <w:jc w:val="left"/>
              <w:rPr>
                <w:rFonts w:ascii="宋体" w:hAnsi="宋体" w:cs="宋体"/>
                <w:kern w:val="0"/>
                <w:szCs w:val="21"/>
              </w:rPr>
            </w:pPr>
            <w:r>
              <w:rPr>
                <w:rFonts w:hint="eastAsia" w:ascii="宋体" w:hAnsi="宋体" w:cs="宋体"/>
                <w:kern w:val="0"/>
                <w:szCs w:val="21"/>
              </w:rPr>
              <w:t>根据不同用户不同视图，列表显示新接收和正在办理的工作任务或流程。</w:t>
            </w:r>
          </w:p>
        </w:tc>
      </w:tr>
      <w:tr>
        <w:tblPrEx>
          <w:tblCellMar>
            <w:top w:w="0" w:type="dxa"/>
            <w:left w:w="108" w:type="dxa"/>
            <w:bottom w:w="0" w:type="dxa"/>
            <w:right w:w="108" w:type="dxa"/>
          </w:tblCellMar>
        </w:tblPrEx>
        <w:trPr>
          <w:trHeight w:val="1995"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工作提醒</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Cs w:val="21"/>
              </w:rPr>
            </w:pPr>
            <w:r>
              <w:rPr>
                <w:rFonts w:hint="eastAsia" w:ascii="宋体" w:hAnsi="宋体" w:cs="宋体"/>
                <w:kern w:val="0"/>
                <w:szCs w:val="21"/>
              </w:rPr>
              <w:t>系统根据上述规则在界面上某一区域显示与“提醒”超时办理的工作和事件。</w:t>
            </w:r>
          </w:p>
        </w:tc>
      </w:tr>
      <w:tr>
        <w:tblPrEx>
          <w:tblCellMar>
            <w:top w:w="0" w:type="dxa"/>
            <w:left w:w="108" w:type="dxa"/>
            <w:bottom w:w="0" w:type="dxa"/>
            <w:right w:w="108" w:type="dxa"/>
          </w:tblCellMar>
        </w:tblPrEx>
        <w:trPr>
          <w:trHeight w:val="765"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个人工作看板</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个人工作看板</w:t>
            </w:r>
          </w:p>
        </w:tc>
        <w:tc>
          <w:tcPr>
            <w:tcW w:w="475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Cs w:val="21"/>
              </w:rPr>
            </w:pPr>
            <w:r>
              <w:rPr>
                <w:rFonts w:hint="eastAsia" w:ascii="宋体" w:hAnsi="宋体" w:cs="宋体"/>
                <w:kern w:val="0"/>
                <w:szCs w:val="21"/>
              </w:rPr>
              <w:t>系统根据用户的待办任务、流程、事项自动生成，可手工补充，以看板的形式实现，系统自动更新状态。</w:t>
            </w:r>
          </w:p>
        </w:tc>
      </w:tr>
      <w:tr>
        <w:tblPrEx>
          <w:tblCellMar>
            <w:top w:w="0" w:type="dxa"/>
            <w:left w:w="108" w:type="dxa"/>
            <w:bottom w:w="0" w:type="dxa"/>
            <w:right w:w="108" w:type="dxa"/>
          </w:tblCellMar>
        </w:tblPrEx>
        <w:trPr>
          <w:trHeight w:val="81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工作计划管理</w:t>
            </w:r>
          </w:p>
        </w:tc>
        <w:tc>
          <w:tcPr>
            <w:tcW w:w="475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Cs w:val="21"/>
              </w:rPr>
            </w:pPr>
            <w:r>
              <w:rPr>
                <w:rFonts w:hint="eastAsia" w:ascii="宋体" w:hAnsi="宋体" w:cs="宋体"/>
                <w:kern w:val="0"/>
                <w:szCs w:val="21"/>
              </w:rPr>
              <w:t>实现对“个人工作看板”的内容可进行手工补充，调整优先级和工作排期，修改处理状态、自动或手动生成工作日报等功能。</w:t>
            </w:r>
          </w:p>
        </w:tc>
      </w:tr>
      <w:tr>
        <w:tblPrEx>
          <w:tblCellMar>
            <w:top w:w="0" w:type="dxa"/>
            <w:left w:w="108" w:type="dxa"/>
            <w:bottom w:w="0" w:type="dxa"/>
            <w:right w:w="108" w:type="dxa"/>
          </w:tblCellMar>
        </w:tblPrEx>
        <w:trPr>
          <w:trHeight w:val="675"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查看工作日报</w:t>
            </w:r>
          </w:p>
        </w:tc>
        <w:tc>
          <w:tcPr>
            <w:tcW w:w="475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Cs w:val="21"/>
              </w:rPr>
            </w:pPr>
            <w:r>
              <w:rPr>
                <w:rFonts w:hint="eastAsia" w:ascii="宋体" w:hAnsi="宋体" w:cs="宋体"/>
                <w:kern w:val="0"/>
                <w:szCs w:val="21"/>
              </w:rPr>
              <w:t>根据不同用户权限显示个人、小队、组和室不同范围的工作日报。</w:t>
            </w:r>
          </w:p>
        </w:tc>
      </w:tr>
      <w:tr>
        <w:tblPrEx>
          <w:tblCellMar>
            <w:top w:w="0" w:type="dxa"/>
            <w:left w:w="108" w:type="dxa"/>
            <w:bottom w:w="0" w:type="dxa"/>
            <w:right w:w="108" w:type="dxa"/>
          </w:tblCellMar>
        </w:tblPrEx>
        <w:trPr>
          <w:trHeight w:val="63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公布栏（通知）</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Cs w:val="21"/>
              </w:rPr>
            </w:pPr>
            <w:r>
              <w:rPr>
                <w:rFonts w:hint="eastAsia" w:ascii="宋体" w:hAnsi="宋体" w:cs="宋体"/>
                <w:kern w:val="0"/>
                <w:szCs w:val="21"/>
              </w:rPr>
              <w:t>展示近期的告示、公文、重要通知，以及要求用户了解关注的事件、规范等。</w:t>
            </w:r>
          </w:p>
        </w:tc>
      </w:tr>
      <w:tr>
        <w:tblPrEx>
          <w:tblCellMar>
            <w:top w:w="0" w:type="dxa"/>
            <w:left w:w="108" w:type="dxa"/>
            <w:bottom w:w="0" w:type="dxa"/>
            <w:right w:w="108" w:type="dxa"/>
          </w:tblCellMar>
        </w:tblPrEx>
        <w:trPr>
          <w:trHeight w:val="87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自定义菜单模块区域</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kern w:val="0"/>
                <w:szCs w:val="21"/>
              </w:rPr>
            </w:pPr>
            <w:r>
              <w:rPr>
                <w:rFonts w:hint="eastAsia" w:ascii="宋体" w:hAnsi="宋体" w:cs="宋体"/>
                <w:kern w:val="0"/>
                <w:szCs w:val="21"/>
              </w:rPr>
              <w:t>用户在“公共管理”功能模块里自行设定在“首页”（即个人工作台）中功能模块或菜单，应取用户本人最常用的功能模块。</w:t>
            </w:r>
          </w:p>
        </w:tc>
      </w:tr>
      <w:tr>
        <w:tblPrEx>
          <w:tblCellMar>
            <w:top w:w="0" w:type="dxa"/>
            <w:left w:w="108" w:type="dxa"/>
            <w:bottom w:w="0" w:type="dxa"/>
            <w:right w:w="108" w:type="dxa"/>
          </w:tblCellMar>
        </w:tblPrEx>
        <w:trPr>
          <w:trHeight w:val="585" w:hRule="atLeast"/>
          <w:jc w:val="center"/>
        </w:trPr>
        <w:tc>
          <w:tcPr>
            <w:tcW w:w="10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需求管理</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需求受理</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OA需求受理</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查看及办理通过OA需求流程发起的业务需求澄清任务。</w:t>
            </w:r>
          </w:p>
        </w:tc>
      </w:tr>
      <w:tr>
        <w:tblPrEx>
          <w:tblCellMar>
            <w:top w:w="0" w:type="dxa"/>
            <w:left w:w="108" w:type="dxa"/>
            <w:bottom w:w="0" w:type="dxa"/>
            <w:right w:w="108" w:type="dxa"/>
          </w:tblCellMar>
        </w:tblPrEx>
        <w:trPr>
          <w:trHeight w:val="735"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QP服务请求受理</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查看及办理通过QP服务请求流程发起的系统优化、问题处理等需求的分析和功能需求书编写任务。</w:t>
            </w:r>
          </w:p>
        </w:tc>
      </w:tr>
      <w:tr>
        <w:tblPrEx>
          <w:tblCellMar>
            <w:top w:w="0" w:type="dxa"/>
            <w:left w:w="108" w:type="dxa"/>
            <w:bottom w:w="0" w:type="dxa"/>
            <w:right w:w="108" w:type="dxa"/>
          </w:tblCellMar>
        </w:tblPrEx>
        <w:trPr>
          <w:trHeight w:val="99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需求澄清子任务办理</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查看及办理被分派的需求澄清子任务，本人提交/被抄送需求。</w:t>
            </w:r>
          </w:p>
        </w:tc>
      </w:tr>
      <w:tr>
        <w:tblPrEx>
          <w:tblCellMar>
            <w:top w:w="0" w:type="dxa"/>
            <w:left w:w="108" w:type="dxa"/>
            <w:bottom w:w="0" w:type="dxa"/>
            <w:right w:w="108" w:type="dxa"/>
          </w:tblCellMar>
        </w:tblPrEx>
        <w:trPr>
          <w:trHeight w:val="81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需求澄清</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需求范围分析</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利用系统提供的工具、适配资产库相关信息资料等手段，对需求产品归类、业务关联性、跨部门、跨系统等需求范围进行分析。</w:t>
            </w:r>
          </w:p>
        </w:tc>
      </w:tr>
      <w:tr>
        <w:tblPrEx>
          <w:tblCellMar>
            <w:top w:w="0" w:type="dxa"/>
            <w:left w:w="108" w:type="dxa"/>
            <w:bottom w:w="0" w:type="dxa"/>
            <w:right w:w="108" w:type="dxa"/>
          </w:tblCellMar>
        </w:tblPrEx>
        <w:trPr>
          <w:trHeight w:val="735"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需求拆分</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根据需求范围分析结果拆分需求澄清子任务。</w:t>
            </w:r>
          </w:p>
        </w:tc>
      </w:tr>
      <w:tr>
        <w:tblPrEx>
          <w:tblCellMar>
            <w:top w:w="0" w:type="dxa"/>
            <w:left w:w="108" w:type="dxa"/>
            <w:bottom w:w="0" w:type="dxa"/>
            <w:right w:w="108" w:type="dxa"/>
          </w:tblCellMar>
        </w:tblPrEx>
        <w:trPr>
          <w:trHeight w:val="66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需求合并</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形成完整的需求规格说明书。</w:t>
            </w:r>
          </w:p>
        </w:tc>
      </w:tr>
      <w:tr>
        <w:tblPrEx>
          <w:tblCellMar>
            <w:top w:w="0" w:type="dxa"/>
            <w:left w:w="108" w:type="dxa"/>
            <w:bottom w:w="0" w:type="dxa"/>
            <w:right w:w="108" w:type="dxa"/>
          </w:tblCellMar>
        </w:tblPrEx>
        <w:trPr>
          <w:trHeight w:val="84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需求审批</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需求内容审批流转，支持子任务和整体需求的审核和需求确认。</w:t>
            </w:r>
          </w:p>
        </w:tc>
      </w:tr>
      <w:tr>
        <w:tblPrEx>
          <w:tblCellMar>
            <w:top w:w="0" w:type="dxa"/>
            <w:left w:w="108" w:type="dxa"/>
            <w:bottom w:w="0" w:type="dxa"/>
            <w:right w:w="108" w:type="dxa"/>
          </w:tblCellMar>
        </w:tblPrEx>
        <w:trPr>
          <w:trHeight w:val="60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需求质量</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需求内容校验。按照模板中必填内容校验需求内容完整性。</w:t>
            </w:r>
          </w:p>
        </w:tc>
      </w:tr>
      <w:tr>
        <w:tblPrEx>
          <w:tblCellMar>
            <w:top w:w="0" w:type="dxa"/>
            <w:left w:w="108" w:type="dxa"/>
            <w:bottom w:w="0" w:type="dxa"/>
            <w:right w:w="108" w:type="dxa"/>
          </w:tblCellMar>
        </w:tblPrEx>
        <w:trPr>
          <w:trHeight w:val="75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需求评审</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1.选择涉及人员,发起需求评审；</w:t>
            </w:r>
            <w:r>
              <w:rPr>
                <w:rFonts w:hint="eastAsia" w:ascii="宋体" w:hAnsi="宋体" w:cs="宋体"/>
                <w:kern w:val="0"/>
                <w:szCs w:val="21"/>
              </w:rPr>
              <w:br w:type="textWrapping"/>
            </w:r>
            <w:r>
              <w:rPr>
                <w:rFonts w:hint="eastAsia" w:ascii="宋体" w:hAnsi="宋体" w:cs="宋体"/>
                <w:kern w:val="0"/>
                <w:szCs w:val="21"/>
              </w:rPr>
              <w:t>2.支持线上+线下结合。</w:t>
            </w:r>
          </w:p>
        </w:tc>
      </w:tr>
      <w:tr>
        <w:tblPrEx>
          <w:tblCellMar>
            <w:top w:w="0" w:type="dxa"/>
            <w:left w:w="108" w:type="dxa"/>
            <w:bottom w:w="0" w:type="dxa"/>
            <w:right w:w="108" w:type="dxa"/>
          </w:tblCellMar>
        </w:tblPrEx>
        <w:trPr>
          <w:trHeight w:val="975"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需求版本与基线</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需求版本</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需求变更后版本维护，附件版本维护。需求内容需要可以按照功能点映射到基线中的具体功能点，可以根据需求上线情况，自动刷新基线。</w:t>
            </w:r>
          </w:p>
        </w:tc>
      </w:tr>
      <w:tr>
        <w:tblPrEx>
          <w:tblCellMar>
            <w:top w:w="0" w:type="dxa"/>
            <w:left w:w="108" w:type="dxa"/>
            <w:bottom w:w="0" w:type="dxa"/>
            <w:right w:w="108" w:type="dxa"/>
          </w:tblCellMar>
        </w:tblPrEx>
        <w:trPr>
          <w:trHeight w:val="96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 xml:space="preserve">基线内容结构化管理 </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目录下基线内容管理。按照基本功能结构化管理，可以在需求中引用、修改，以及记录修改日志（需求号，时间等）。</w:t>
            </w:r>
          </w:p>
        </w:tc>
      </w:tr>
      <w:tr>
        <w:tblPrEx>
          <w:tblCellMar>
            <w:top w:w="0" w:type="dxa"/>
            <w:left w:w="108" w:type="dxa"/>
            <w:bottom w:w="0" w:type="dxa"/>
            <w:right w:w="108" w:type="dxa"/>
          </w:tblCellMar>
        </w:tblPrEx>
        <w:trPr>
          <w:trHeight w:val="72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需求排期</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优先级管理</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首先对需求进行优先级管理，再提交技术人员评估工作量和计划排期。</w:t>
            </w:r>
          </w:p>
        </w:tc>
      </w:tr>
      <w:tr>
        <w:tblPrEx>
          <w:tblCellMar>
            <w:top w:w="0" w:type="dxa"/>
            <w:left w:w="108" w:type="dxa"/>
            <w:bottom w:w="0" w:type="dxa"/>
            <w:right w:w="108" w:type="dxa"/>
          </w:tblCellMar>
        </w:tblPrEx>
        <w:trPr>
          <w:trHeight w:val="210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排期看板</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增加排期视图：</w:t>
            </w:r>
            <w:r>
              <w:rPr>
                <w:rFonts w:hint="eastAsia" w:ascii="宋体" w:hAnsi="宋体" w:cs="宋体"/>
                <w:kern w:val="0"/>
                <w:szCs w:val="21"/>
              </w:rPr>
              <w:br w:type="textWrapping"/>
            </w:r>
            <w:r>
              <w:rPr>
                <w:rFonts w:hint="eastAsia" w:ascii="宋体" w:hAnsi="宋体" w:cs="宋体"/>
                <w:kern w:val="0"/>
                <w:szCs w:val="21"/>
              </w:rPr>
              <w:t>1.需求分为进入排期窗口需求和待排期需求，待排期需求不进入排期视图。</w:t>
            </w:r>
            <w:r>
              <w:rPr>
                <w:rFonts w:hint="eastAsia" w:ascii="宋体" w:hAnsi="宋体" w:cs="宋体"/>
                <w:kern w:val="0"/>
                <w:szCs w:val="21"/>
              </w:rPr>
              <w:br w:type="textWrapping"/>
            </w:r>
            <w:r>
              <w:rPr>
                <w:rFonts w:hint="eastAsia" w:ascii="宋体" w:hAnsi="宋体" w:cs="宋体"/>
                <w:kern w:val="0"/>
                <w:szCs w:val="21"/>
              </w:rPr>
              <w:t>2.竖向是待排期需求编号，横向是各系统相关的功能点数和评估的工作量。</w:t>
            </w:r>
            <w:r>
              <w:rPr>
                <w:rFonts w:hint="eastAsia" w:ascii="宋体" w:hAnsi="宋体" w:cs="宋体"/>
                <w:kern w:val="0"/>
                <w:szCs w:val="21"/>
              </w:rPr>
              <w:br w:type="textWrapping"/>
            </w:r>
            <w:r>
              <w:rPr>
                <w:rFonts w:hint="eastAsia" w:ascii="宋体" w:hAnsi="宋体" w:cs="宋体"/>
                <w:kern w:val="0"/>
                <w:szCs w:val="21"/>
              </w:rPr>
              <w:t>3.汇总列汇总排期中的功能点和工作量汇总。</w:t>
            </w:r>
            <w:r>
              <w:rPr>
                <w:rFonts w:hint="eastAsia" w:ascii="宋体" w:hAnsi="宋体" w:cs="宋体"/>
                <w:kern w:val="0"/>
                <w:szCs w:val="21"/>
              </w:rPr>
              <w:br w:type="textWrapping"/>
            </w:r>
            <w:r>
              <w:rPr>
                <w:rFonts w:hint="eastAsia" w:ascii="宋体" w:hAnsi="宋体" w:cs="宋体"/>
                <w:kern w:val="0"/>
                <w:szCs w:val="21"/>
              </w:rPr>
              <w:t>4.可以添加删除需求，修改需求优先级。</w:t>
            </w:r>
          </w:p>
        </w:tc>
      </w:tr>
      <w:tr>
        <w:tblPrEx>
          <w:tblCellMar>
            <w:top w:w="0" w:type="dxa"/>
            <w:left w:w="108" w:type="dxa"/>
            <w:bottom w:w="0" w:type="dxa"/>
            <w:right w:w="108" w:type="dxa"/>
          </w:tblCellMar>
        </w:tblPrEx>
        <w:trPr>
          <w:trHeight w:val="1485"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工作量</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功能点或工作量评估：</w:t>
            </w:r>
            <w:r>
              <w:rPr>
                <w:rFonts w:hint="eastAsia" w:ascii="宋体" w:hAnsi="宋体" w:cs="宋体"/>
                <w:kern w:val="0"/>
                <w:szCs w:val="21"/>
              </w:rPr>
              <w:br w:type="textWrapping"/>
            </w:r>
            <w:r>
              <w:rPr>
                <w:rFonts w:hint="eastAsia" w:ascii="宋体" w:hAnsi="宋体" w:cs="宋体"/>
                <w:kern w:val="0"/>
                <w:szCs w:val="21"/>
              </w:rPr>
              <w:t>1.按照系统记录功能点，可以在需求阶段填写，开发阶段修改（审批）。</w:t>
            </w:r>
            <w:r>
              <w:rPr>
                <w:rFonts w:hint="eastAsia" w:ascii="宋体" w:hAnsi="宋体" w:cs="宋体"/>
                <w:kern w:val="0"/>
                <w:szCs w:val="21"/>
              </w:rPr>
              <w:br w:type="textWrapping"/>
            </w:r>
            <w:r>
              <w:rPr>
                <w:rFonts w:hint="eastAsia" w:ascii="宋体" w:hAnsi="宋体" w:cs="宋体"/>
                <w:kern w:val="0"/>
                <w:szCs w:val="21"/>
              </w:rPr>
              <w:t>2.按照系统做工作量登记，由有工作量的系统，开发阶段填写 。</w:t>
            </w:r>
          </w:p>
        </w:tc>
      </w:tr>
      <w:tr>
        <w:tblPrEx>
          <w:tblCellMar>
            <w:top w:w="0" w:type="dxa"/>
            <w:left w:w="108" w:type="dxa"/>
            <w:bottom w:w="0" w:type="dxa"/>
            <w:right w:w="108" w:type="dxa"/>
          </w:tblCellMar>
        </w:tblPrEx>
        <w:trPr>
          <w:trHeight w:val="63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需求跟踪</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跟踪矩阵</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需求可视化跟踪。多维度（开发室，开发组，需求，时间）需求状态统计。</w:t>
            </w:r>
          </w:p>
        </w:tc>
      </w:tr>
      <w:tr>
        <w:tblPrEx>
          <w:tblCellMar>
            <w:top w:w="0" w:type="dxa"/>
            <w:left w:w="108" w:type="dxa"/>
            <w:bottom w:w="0" w:type="dxa"/>
            <w:right w:w="108" w:type="dxa"/>
          </w:tblCellMar>
        </w:tblPrEx>
        <w:trPr>
          <w:trHeight w:val="60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需求卡片</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需求、任务、问题、缺陷作为卡片置放在看板，实现看板可视化和透明化管理。</w:t>
            </w:r>
          </w:p>
        </w:tc>
      </w:tr>
      <w:tr>
        <w:tblPrEx>
          <w:tblCellMar>
            <w:top w:w="0" w:type="dxa"/>
            <w:left w:w="108" w:type="dxa"/>
            <w:bottom w:w="0" w:type="dxa"/>
            <w:right w:w="108" w:type="dxa"/>
          </w:tblCellMar>
        </w:tblPrEx>
        <w:trPr>
          <w:trHeight w:val="51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需求变更</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需求变更过程管理。</w:t>
            </w:r>
          </w:p>
        </w:tc>
      </w:tr>
      <w:tr>
        <w:tblPrEx>
          <w:tblCellMar>
            <w:top w:w="0" w:type="dxa"/>
            <w:left w:w="108" w:type="dxa"/>
            <w:bottom w:w="0" w:type="dxa"/>
            <w:right w:w="108" w:type="dxa"/>
          </w:tblCellMar>
        </w:tblPrEx>
        <w:trPr>
          <w:trHeight w:val="570" w:hRule="atLeast"/>
          <w:jc w:val="center"/>
        </w:trPr>
        <w:tc>
          <w:tcPr>
            <w:tcW w:w="100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产品管理</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按产品的维度进行生命周期管理和运营。</w:t>
            </w:r>
          </w:p>
        </w:tc>
      </w:tr>
      <w:tr>
        <w:tblPrEx>
          <w:tblCellMar>
            <w:top w:w="0" w:type="dxa"/>
            <w:left w:w="108" w:type="dxa"/>
            <w:bottom w:w="0" w:type="dxa"/>
            <w:right w:w="108" w:type="dxa"/>
          </w:tblCellMar>
        </w:tblPrEx>
        <w:trPr>
          <w:trHeight w:val="645" w:hRule="atLeast"/>
          <w:jc w:val="center"/>
        </w:trPr>
        <w:tc>
          <w:tcPr>
            <w:tcW w:w="1006"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需求设计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需求检索</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全文检索</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需求全文检索，查看历史需求内容。包括业务需求、功能需求说明书、需求基线等全资产库搜索。</w:t>
            </w:r>
          </w:p>
        </w:tc>
      </w:tr>
      <w:tr>
        <w:tblPrEx>
          <w:tblCellMar>
            <w:top w:w="0" w:type="dxa"/>
            <w:left w:w="108" w:type="dxa"/>
            <w:bottom w:w="0" w:type="dxa"/>
            <w:right w:w="108" w:type="dxa"/>
          </w:tblCellMar>
        </w:tblPrEx>
        <w:trPr>
          <w:trHeight w:val="60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业务需求编写</w:t>
            </w:r>
          </w:p>
        </w:tc>
        <w:tc>
          <w:tcPr>
            <w:tcW w:w="1843" w:type="dxa"/>
            <w:tcBorders>
              <w:top w:val="nil"/>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需求模板</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提供最新版本业务需求书模板的查询、下载及“在线编写”功能。</w:t>
            </w:r>
          </w:p>
        </w:tc>
      </w:tr>
      <w:tr>
        <w:tblPrEx>
          <w:tblCellMar>
            <w:top w:w="0" w:type="dxa"/>
            <w:left w:w="108" w:type="dxa"/>
            <w:bottom w:w="0" w:type="dxa"/>
            <w:right w:w="108" w:type="dxa"/>
          </w:tblCellMar>
        </w:tblPrEx>
        <w:trPr>
          <w:trHeight w:val="645"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在线编写</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业务需求编写，支持资产引入（清晰的资产清单分类进行选择），拖拉拽等方式。</w:t>
            </w:r>
          </w:p>
        </w:tc>
      </w:tr>
      <w:tr>
        <w:tblPrEx>
          <w:tblCellMar>
            <w:top w:w="0" w:type="dxa"/>
            <w:left w:w="108" w:type="dxa"/>
            <w:bottom w:w="0" w:type="dxa"/>
            <w:right w:w="108" w:type="dxa"/>
          </w:tblCellMar>
        </w:tblPrEx>
        <w:trPr>
          <w:trHeight w:val="54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软件需求编写</w:t>
            </w:r>
          </w:p>
        </w:tc>
        <w:tc>
          <w:tcPr>
            <w:tcW w:w="1843" w:type="dxa"/>
            <w:tcBorders>
              <w:top w:val="nil"/>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需求基线</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提供生产版本的各业务条线、产品级别或系统纬度的需求基线查询、下载及“在线编写”功能。</w:t>
            </w:r>
          </w:p>
        </w:tc>
      </w:tr>
      <w:tr>
        <w:tblPrEx>
          <w:tblCellMar>
            <w:top w:w="0" w:type="dxa"/>
            <w:left w:w="108" w:type="dxa"/>
            <w:bottom w:w="0" w:type="dxa"/>
            <w:right w:w="108" w:type="dxa"/>
          </w:tblCellMar>
        </w:tblPrEx>
        <w:trPr>
          <w:trHeight w:val="54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需求模板</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提供最新版本各类需求书模板的查询、下载及“在线编写”功能。</w:t>
            </w:r>
          </w:p>
        </w:tc>
      </w:tr>
      <w:tr>
        <w:tblPrEx>
          <w:tblCellMar>
            <w:top w:w="0" w:type="dxa"/>
            <w:left w:w="108" w:type="dxa"/>
            <w:bottom w:w="0" w:type="dxa"/>
            <w:right w:w="108" w:type="dxa"/>
          </w:tblCellMar>
        </w:tblPrEx>
        <w:trPr>
          <w:trHeight w:val="54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在线编写</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软件需求编写，支持资产引入（清晰的资产清单分类进行选择），拖拉拽等方式。</w:t>
            </w:r>
          </w:p>
        </w:tc>
      </w:tr>
      <w:tr>
        <w:tblPrEx>
          <w:tblCellMar>
            <w:top w:w="0" w:type="dxa"/>
            <w:left w:w="108" w:type="dxa"/>
            <w:bottom w:w="0" w:type="dxa"/>
            <w:right w:w="108" w:type="dxa"/>
          </w:tblCellMar>
        </w:tblPrEx>
        <w:trPr>
          <w:trHeight w:val="189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结构化需求内容和基线联动</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软件需求内容结构化和基线联动。</w:t>
            </w:r>
            <w:r>
              <w:rPr>
                <w:rFonts w:hint="eastAsia" w:ascii="宋体" w:hAnsi="宋体" w:cs="宋体"/>
                <w:kern w:val="0"/>
                <w:szCs w:val="21"/>
              </w:rPr>
              <w:br w:type="textWrapping"/>
            </w:r>
            <w:r>
              <w:rPr>
                <w:rFonts w:hint="eastAsia" w:ascii="宋体" w:hAnsi="宋体" w:cs="宋体"/>
                <w:kern w:val="0"/>
                <w:szCs w:val="21"/>
              </w:rPr>
              <w:t>1.新增需求只能新增章节，且需要把对应功能映射到需求基线下。需求开发完成后自动转变为基线。</w:t>
            </w:r>
            <w:r>
              <w:rPr>
                <w:rFonts w:hint="eastAsia" w:ascii="宋体" w:hAnsi="宋体" w:cs="宋体"/>
                <w:kern w:val="0"/>
                <w:szCs w:val="21"/>
              </w:rPr>
              <w:br w:type="textWrapping"/>
            </w:r>
            <w:r>
              <w:rPr>
                <w:rFonts w:hint="eastAsia" w:ascii="宋体" w:hAnsi="宋体" w:cs="宋体"/>
                <w:kern w:val="0"/>
                <w:szCs w:val="21"/>
              </w:rPr>
              <w:t>2.修改内容，只能在引用基线的基础上修改，需求上线后自动刷新基线。</w:t>
            </w:r>
            <w:r>
              <w:rPr>
                <w:rFonts w:hint="eastAsia" w:ascii="宋体" w:hAnsi="宋体" w:cs="宋体"/>
                <w:kern w:val="0"/>
                <w:szCs w:val="21"/>
              </w:rPr>
              <w:br w:type="textWrapping"/>
            </w:r>
            <w:r>
              <w:rPr>
                <w:rFonts w:hint="eastAsia" w:ascii="宋体" w:hAnsi="宋体" w:cs="宋体"/>
                <w:kern w:val="0"/>
                <w:szCs w:val="21"/>
              </w:rPr>
              <w:t>3.非结构化内容作为解释说明，不能做为功能需求内容（注释，解释说明，背景等）。</w:t>
            </w:r>
          </w:p>
        </w:tc>
      </w:tr>
      <w:tr>
        <w:tblPrEx>
          <w:tblCellMar>
            <w:top w:w="0" w:type="dxa"/>
            <w:left w:w="108" w:type="dxa"/>
            <w:bottom w:w="0" w:type="dxa"/>
            <w:right w:w="108" w:type="dxa"/>
          </w:tblCellMar>
        </w:tblPrEx>
        <w:trPr>
          <w:trHeight w:val="189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线上协同</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1.主办人可以添加协同人（协办）。</w:t>
            </w:r>
            <w:r>
              <w:rPr>
                <w:rFonts w:hint="eastAsia" w:ascii="宋体" w:hAnsi="宋体" w:cs="宋体"/>
                <w:kern w:val="0"/>
                <w:szCs w:val="21"/>
              </w:rPr>
              <w:br w:type="textWrapping"/>
            </w:r>
            <w:r>
              <w:rPr>
                <w:rFonts w:hint="eastAsia" w:ascii="宋体" w:hAnsi="宋体" w:cs="宋体"/>
                <w:kern w:val="0"/>
                <w:szCs w:val="21"/>
              </w:rPr>
              <w:t>2.同一个文档多人同时编写，按照章节锁定，需要能看到对应的锁定人。锁定人可以留言注释。</w:t>
            </w:r>
            <w:r>
              <w:rPr>
                <w:rFonts w:hint="eastAsia" w:ascii="宋体" w:hAnsi="宋体" w:cs="宋体"/>
                <w:kern w:val="0"/>
                <w:szCs w:val="21"/>
              </w:rPr>
              <w:br w:type="textWrapping"/>
            </w:r>
            <w:r>
              <w:rPr>
                <w:rFonts w:hint="eastAsia" w:ascii="宋体" w:hAnsi="宋体" w:cs="宋体"/>
                <w:kern w:val="0"/>
                <w:szCs w:val="21"/>
              </w:rPr>
              <w:t xml:space="preserve">3.跨文档协同，多个需求文档对同一个基线内容做修改时，要求做出需求内容合并（两份需求内容保持一致）或确定需求开发顺序后跨文档修改同步（后开发的要在先开发的基础上修改）。 </w:t>
            </w:r>
          </w:p>
        </w:tc>
      </w:tr>
      <w:tr>
        <w:tblPrEx>
          <w:tblCellMar>
            <w:top w:w="0" w:type="dxa"/>
            <w:left w:w="108" w:type="dxa"/>
            <w:bottom w:w="0" w:type="dxa"/>
            <w:right w:w="108" w:type="dxa"/>
          </w:tblCellMar>
        </w:tblPrEx>
        <w:trPr>
          <w:trHeight w:val="435"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需求导入</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将线下编写的需求导入资产库。</w:t>
            </w:r>
          </w:p>
        </w:tc>
      </w:tr>
      <w:tr>
        <w:tblPrEx>
          <w:tblCellMar>
            <w:top w:w="0" w:type="dxa"/>
            <w:left w:w="108" w:type="dxa"/>
            <w:bottom w:w="0" w:type="dxa"/>
            <w:right w:w="108" w:type="dxa"/>
          </w:tblCellMar>
        </w:tblPrEx>
        <w:trPr>
          <w:trHeight w:val="54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编写版本冲突</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处理需求编写过程中需求冲突，以及历史记录，锁定等功能。</w:t>
            </w:r>
          </w:p>
        </w:tc>
      </w:tr>
      <w:tr>
        <w:tblPrEx>
          <w:tblCellMar>
            <w:top w:w="0" w:type="dxa"/>
            <w:left w:w="108" w:type="dxa"/>
            <w:bottom w:w="0" w:type="dxa"/>
            <w:right w:w="108" w:type="dxa"/>
          </w:tblCellMar>
        </w:tblPrEx>
        <w:trPr>
          <w:trHeight w:val="660" w:hRule="atLeast"/>
          <w:jc w:val="center"/>
        </w:trPr>
        <w:tc>
          <w:tcPr>
            <w:tcW w:w="1006"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需求资产</w:t>
            </w:r>
          </w:p>
        </w:tc>
        <w:tc>
          <w:tcPr>
            <w:tcW w:w="15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资产全景视图</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业务视图</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按业务条线展示资产全景图，提供给权限范围内用户查询和获取。</w:t>
            </w:r>
          </w:p>
        </w:tc>
      </w:tr>
      <w:tr>
        <w:tblPrEx>
          <w:tblCellMar>
            <w:top w:w="0" w:type="dxa"/>
            <w:left w:w="108" w:type="dxa"/>
            <w:bottom w:w="0" w:type="dxa"/>
            <w:right w:w="108" w:type="dxa"/>
          </w:tblCellMar>
        </w:tblPrEx>
        <w:trPr>
          <w:trHeight w:val="66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系统视图</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按系统功能架构、系统间关联关系展示资产全景图，提供给权限范围内用户查询和获取。</w:t>
            </w:r>
          </w:p>
        </w:tc>
      </w:tr>
      <w:tr>
        <w:tblPrEx>
          <w:tblCellMar>
            <w:top w:w="0" w:type="dxa"/>
            <w:left w:w="108" w:type="dxa"/>
            <w:bottom w:w="0" w:type="dxa"/>
            <w:right w:w="108" w:type="dxa"/>
          </w:tblCellMar>
        </w:tblPrEx>
        <w:trPr>
          <w:trHeight w:val="66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产品视图</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按产品的角度展示资产全景图。</w:t>
            </w:r>
          </w:p>
        </w:tc>
      </w:tr>
      <w:tr>
        <w:tblPrEx>
          <w:tblCellMar>
            <w:top w:w="0" w:type="dxa"/>
            <w:left w:w="108" w:type="dxa"/>
            <w:bottom w:w="0" w:type="dxa"/>
            <w:right w:w="108" w:type="dxa"/>
          </w:tblCellMar>
        </w:tblPrEx>
        <w:trPr>
          <w:trHeight w:val="66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资产管理</w:t>
            </w:r>
          </w:p>
        </w:tc>
        <w:tc>
          <w:tcPr>
            <w:tcW w:w="1843"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资产入库</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固定模板，支持项目资产批量入库。</w:t>
            </w:r>
          </w:p>
        </w:tc>
      </w:tr>
      <w:tr>
        <w:tblPrEx>
          <w:tblCellMar>
            <w:top w:w="0" w:type="dxa"/>
            <w:left w:w="108" w:type="dxa"/>
            <w:bottom w:w="0" w:type="dxa"/>
            <w:right w:w="108" w:type="dxa"/>
          </w:tblCellMar>
        </w:tblPrEx>
        <w:trPr>
          <w:trHeight w:val="66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基础资产</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对资产进行标记，区分上线、在途，增加修订记录。</w:t>
            </w:r>
          </w:p>
        </w:tc>
      </w:tr>
      <w:tr>
        <w:tblPrEx>
          <w:tblCellMar>
            <w:top w:w="0" w:type="dxa"/>
            <w:left w:w="108" w:type="dxa"/>
            <w:bottom w:w="0" w:type="dxa"/>
            <w:right w:w="108" w:type="dxa"/>
          </w:tblCellMar>
        </w:tblPrEx>
        <w:trPr>
          <w:trHeight w:val="66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业务资产</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和系统资产关联，可以编辑系统资产关联。后续有业务变更，能明确看到影响的系统和功能。</w:t>
            </w:r>
          </w:p>
        </w:tc>
      </w:tr>
      <w:tr>
        <w:tblPrEx>
          <w:tblCellMar>
            <w:top w:w="0" w:type="dxa"/>
            <w:left w:w="108" w:type="dxa"/>
            <w:bottom w:w="0" w:type="dxa"/>
            <w:right w:w="108" w:type="dxa"/>
          </w:tblCellMar>
        </w:tblPrEx>
        <w:trPr>
          <w:trHeight w:val="66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系统资产</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系统资产。</w:t>
            </w:r>
          </w:p>
        </w:tc>
      </w:tr>
      <w:tr>
        <w:tblPrEx>
          <w:tblCellMar>
            <w:top w:w="0" w:type="dxa"/>
            <w:left w:w="108" w:type="dxa"/>
            <w:bottom w:w="0" w:type="dxa"/>
            <w:right w:w="108" w:type="dxa"/>
          </w:tblCellMar>
        </w:tblPrEx>
        <w:trPr>
          <w:trHeight w:val="66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产品资产</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产品资产。</w:t>
            </w:r>
          </w:p>
        </w:tc>
      </w:tr>
      <w:tr>
        <w:tblPrEx>
          <w:tblCellMar>
            <w:top w:w="0" w:type="dxa"/>
            <w:left w:w="108" w:type="dxa"/>
            <w:bottom w:w="0" w:type="dxa"/>
            <w:right w:w="108" w:type="dxa"/>
          </w:tblCellMar>
        </w:tblPrEx>
        <w:trPr>
          <w:trHeight w:val="66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nil"/>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资产复用</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同类产品需求快速复制。</w:t>
            </w:r>
          </w:p>
        </w:tc>
      </w:tr>
      <w:tr>
        <w:tblPrEx>
          <w:tblCellMar>
            <w:top w:w="0" w:type="dxa"/>
            <w:left w:w="108" w:type="dxa"/>
            <w:bottom w:w="0" w:type="dxa"/>
            <w:right w:w="108" w:type="dxa"/>
          </w:tblCellMar>
        </w:tblPrEx>
        <w:trPr>
          <w:trHeight w:val="1230" w:hRule="atLeast"/>
          <w:jc w:val="center"/>
        </w:trPr>
        <w:tc>
          <w:tcPr>
            <w:tcW w:w="1006"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创意空间</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年度规划展示</w:t>
            </w: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展示部门年度规划和产品规划。</w:t>
            </w:r>
          </w:p>
        </w:tc>
      </w:tr>
      <w:tr>
        <w:tblPrEx>
          <w:tblCellMar>
            <w:top w:w="0" w:type="dxa"/>
            <w:left w:w="108" w:type="dxa"/>
            <w:bottom w:w="0" w:type="dxa"/>
            <w:right w:w="108" w:type="dxa"/>
          </w:tblCellMar>
        </w:tblPrEx>
        <w:trPr>
          <w:trHeight w:val="1410"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需求意向</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录入、维护、查询</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记录和管理业务部门提出项目（或产品）的需求意向或上级指令性工作，可追溯对应意向相关的具体需求开发方向、实现进度。</w:t>
            </w:r>
          </w:p>
        </w:tc>
      </w:tr>
      <w:tr>
        <w:tblPrEx>
          <w:tblCellMar>
            <w:top w:w="0" w:type="dxa"/>
            <w:left w:w="108" w:type="dxa"/>
            <w:bottom w:w="0" w:type="dxa"/>
            <w:right w:w="108" w:type="dxa"/>
          </w:tblCellMar>
        </w:tblPrEx>
        <w:trPr>
          <w:trHeight w:val="1455"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想法与创意</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录入、维护、查询</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管理一些未形成成熟需求的idea或待讨论的未来需求，为业务、产品经理提供一个idea记录平台，也可开放给未来产品方的用户提供一个反馈平台。</w:t>
            </w:r>
          </w:p>
        </w:tc>
      </w:tr>
      <w:tr>
        <w:tblPrEx>
          <w:tblCellMar>
            <w:top w:w="0" w:type="dxa"/>
            <w:left w:w="108" w:type="dxa"/>
            <w:bottom w:w="0" w:type="dxa"/>
            <w:right w:w="108" w:type="dxa"/>
          </w:tblCellMar>
        </w:tblPrEx>
        <w:trPr>
          <w:trHeight w:val="885" w:hRule="atLeast"/>
          <w:jc w:val="center"/>
        </w:trPr>
        <w:tc>
          <w:tcPr>
            <w:tcW w:w="1006"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产品设计工具</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用于在线制作产品全景画布、用户故事地图、业务流程等产品相关设计图（可对接第三方平台）。</w:t>
            </w:r>
          </w:p>
        </w:tc>
      </w:tr>
      <w:tr>
        <w:tblPrEx>
          <w:tblCellMar>
            <w:top w:w="0" w:type="dxa"/>
            <w:left w:w="108" w:type="dxa"/>
            <w:bottom w:w="0" w:type="dxa"/>
            <w:right w:w="108" w:type="dxa"/>
          </w:tblCellMar>
        </w:tblPrEx>
        <w:trPr>
          <w:trHeight w:val="660" w:hRule="atLeast"/>
          <w:jc w:val="center"/>
        </w:trPr>
        <w:tc>
          <w:tcPr>
            <w:tcW w:w="100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统计报表</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度量分析</w:t>
            </w:r>
          </w:p>
        </w:tc>
        <w:tc>
          <w:tcPr>
            <w:tcW w:w="1843"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产品经理维度</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对需求相关的数据进行统计、分析、可视化，如年/季/月受理需求数、上线需求数，各产品的需求情况统计。</w:t>
            </w:r>
          </w:p>
        </w:tc>
      </w:tr>
      <w:tr>
        <w:tblPrEx>
          <w:tblCellMar>
            <w:top w:w="0" w:type="dxa"/>
            <w:left w:w="108" w:type="dxa"/>
            <w:bottom w:w="0" w:type="dxa"/>
            <w:right w:w="108" w:type="dxa"/>
          </w:tblCellMar>
        </w:tblPrEx>
        <w:trPr>
          <w:trHeight w:val="480" w:hRule="atLeast"/>
          <w:jc w:val="center"/>
        </w:trPr>
        <w:tc>
          <w:tcPr>
            <w:tcW w:w="1006"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需求分析师维度</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需求分析师维度统计分析。</w:t>
            </w:r>
          </w:p>
        </w:tc>
      </w:tr>
      <w:tr>
        <w:tblPrEx>
          <w:tblCellMar>
            <w:top w:w="0" w:type="dxa"/>
            <w:left w:w="108" w:type="dxa"/>
            <w:bottom w:w="0" w:type="dxa"/>
            <w:right w:w="108" w:type="dxa"/>
          </w:tblCellMar>
        </w:tblPrEx>
        <w:trPr>
          <w:trHeight w:val="435" w:hRule="atLeast"/>
          <w:jc w:val="center"/>
        </w:trPr>
        <w:tc>
          <w:tcPr>
            <w:tcW w:w="1006"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开发人员维度</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开发人员维度统计分析。</w:t>
            </w:r>
          </w:p>
        </w:tc>
      </w:tr>
      <w:tr>
        <w:tblPrEx>
          <w:tblCellMar>
            <w:top w:w="0" w:type="dxa"/>
            <w:left w:w="108" w:type="dxa"/>
            <w:bottom w:w="0" w:type="dxa"/>
            <w:right w:w="108" w:type="dxa"/>
          </w:tblCellMar>
        </w:tblPrEx>
        <w:trPr>
          <w:trHeight w:val="930" w:hRule="atLeast"/>
          <w:jc w:val="center"/>
        </w:trPr>
        <w:tc>
          <w:tcPr>
            <w:tcW w:w="1006"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进度分析</w:t>
            </w: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燃尽图</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用于追踪项目或迭代未完成的工作，分析与理想燃尽图的偏差。可使用预测趋势线来预测迭代结束时可能出现的偏差，以及在迭代期间应该采取的合理行动。</w:t>
            </w:r>
          </w:p>
        </w:tc>
      </w:tr>
      <w:tr>
        <w:tblPrEx>
          <w:tblCellMar>
            <w:top w:w="0" w:type="dxa"/>
            <w:left w:w="108" w:type="dxa"/>
            <w:bottom w:w="0" w:type="dxa"/>
            <w:right w:w="108" w:type="dxa"/>
          </w:tblCellMar>
        </w:tblPrEx>
        <w:trPr>
          <w:trHeight w:val="600" w:hRule="atLeast"/>
          <w:jc w:val="center"/>
        </w:trPr>
        <w:tc>
          <w:tcPr>
            <w:tcW w:w="1006"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需求维度表</w:t>
            </w:r>
          </w:p>
        </w:tc>
        <w:tc>
          <w:tcPr>
            <w:tcW w:w="1843"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统计业务人员需求过程中数据，如需求反复，需求临时取消等统计。</w:t>
            </w:r>
          </w:p>
        </w:tc>
      </w:tr>
      <w:tr>
        <w:tblPrEx>
          <w:tblCellMar>
            <w:top w:w="0" w:type="dxa"/>
            <w:left w:w="108" w:type="dxa"/>
            <w:bottom w:w="0" w:type="dxa"/>
            <w:right w:w="108" w:type="dxa"/>
          </w:tblCellMar>
        </w:tblPrEx>
        <w:trPr>
          <w:trHeight w:val="510" w:hRule="atLeast"/>
          <w:jc w:val="center"/>
        </w:trPr>
        <w:tc>
          <w:tcPr>
            <w:tcW w:w="1006"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系统管理</w:t>
            </w:r>
          </w:p>
        </w:tc>
        <w:tc>
          <w:tcPr>
            <w:tcW w:w="155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用户、权限管理</w:t>
            </w: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角色/机构/用户管理，外包人员管理。</w:t>
            </w:r>
          </w:p>
        </w:tc>
      </w:tr>
      <w:tr>
        <w:tblPrEx>
          <w:tblCellMar>
            <w:top w:w="0" w:type="dxa"/>
            <w:left w:w="108" w:type="dxa"/>
            <w:bottom w:w="0" w:type="dxa"/>
            <w:right w:w="108" w:type="dxa"/>
          </w:tblCellMar>
        </w:tblPrEx>
        <w:trPr>
          <w:trHeight w:val="96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系统参数管理</w:t>
            </w: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需求模式管理</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不同产品（项目）根据其实际情况选择不同需求管理模式（敏捷、瀑布式）。</w:t>
            </w:r>
          </w:p>
        </w:tc>
      </w:tr>
      <w:tr>
        <w:tblPrEx>
          <w:tblCellMar>
            <w:top w:w="0" w:type="dxa"/>
            <w:left w:w="108" w:type="dxa"/>
            <w:bottom w:w="0" w:type="dxa"/>
            <w:right w:w="108" w:type="dxa"/>
          </w:tblCellMar>
        </w:tblPrEx>
        <w:trPr>
          <w:trHeight w:val="2205"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Cs w:val="21"/>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需求流程管理</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1.条线化受理需求、分析、编写、确认、评审等需求全流程管理。</w:t>
            </w:r>
            <w:r>
              <w:rPr>
                <w:rFonts w:hint="eastAsia" w:ascii="宋体" w:hAnsi="宋体" w:cs="宋体"/>
                <w:kern w:val="0"/>
                <w:szCs w:val="21"/>
              </w:rPr>
              <w:br w:type="textWrapping"/>
            </w:r>
            <w:r>
              <w:rPr>
                <w:rFonts w:hint="eastAsia" w:ascii="宋体" w:hAnsi="宋体" w:cs="宋体"/>
                <w:kern w:val="0"/>
                <w:szCs w:val="21"/>
              </w:rPr>
              <w:t>2.审批流程自定义，可以增加，删除审批流程，选流程是并行还是串行。</w:t>
            </w:r>
            <w:r>
              <w:rPr>
                <w:rFonts w:hint="eastAsia" w:ascii="宋体" w:hAnsi="宋体" w:cs="宋体"/>
                <w:kern w:val="0"/>
                <w:szCs w:val="21"/>
              </w:rPr>
              <w:br w:type="textWrapping"/>
            </w:r>
            <w:r>
              <w:rPr>
                <w:rFonts w:hint="eastAsia" w:ascii="宋体" w:hAnsi="宋体" w:cs="宋体"/>
                <w:kern w:val="0"/>
                <w:szCs w:val="21"/>
              </w:rPr>
              <w:t>3.自定义审批角色。</w:t>
            </w:r>
            <w:r>
              <w:rPr>
                <w:rFonts w:hint="eastAsia" w:ascii="宋体" w:hAnsi="宋体" w:cs="宋体"/>
                <w:kern w:val="0"/>
                <w:szCs w:val="21"/>
              </w:rPr>
              <w:br w:type="textWrapping"/>
            </w:r>
            <w:r>
              <w:rPr>
                <w:rFonts w:hint="eastAsia" w:ascii="宋体" w:hAnsi="宋体" w:cs="宋体"/>
                <w:kern w:val="0"/>
                <w:szCs w:val="21"/>
              </w:rPr>
              <w:t>4.每一步可以转发，转办。</w:t>
            </w:r>
          </w:p>
        </w:tc>
      </w:tr>
      <w:tr>
        <w:tblPrEx>
          <w:tblCellMar>
            <w:top w:w="0" w:type="dxa"/>
            <w:left w:w="108" w:type="dxa"/>
            <w:bottom w:w="0" w:type="dxa"/>
            <w:right w:w="108" w:type="dxa"/>
          </w:tblCellMar>
        </w:tblPrEx>
        <w:trPr>
          <w:trHeight w:val="48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tcBorders>
              <w:top w:val="nil"/>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流程自定义</w:t>
            </w:r>
          </w:p>
        </w:tc>
        <w:tc>
          <w:tcPr>
            <w:tcW w:w="1843" w:type="dxa"/>
            <w:tcBorders>
              <w:top w:val="nil"/>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支持转办。</w:t>
            </w:r>
          </w:p>
        </w:tc>
      </w:tr>
      <w:tr>
        <w:tblPrEx>
          <w:tblCellMar>
            <w:top w:w="0" w:type="dxa"/>
            <w:left w:w="108" w:type="dxa"/>
            <w:bottom w:w="0" w:type="dxa"/>
            <w:right w:w="108" w:type="dxa"/>
          </w:tblCellMar>
        </w:tblPrEx>
        <w:trPr>
          <w:trHeight w:val="48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工作代理</w:t>
            </w:r>
          </w:p>
        </w:tc>
        <w:tc>
          <w:tcPr>
            <w:tcW w:w="1843"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480" w:hRule="atLeast"/>
          <w:jc w:val="center"/>
        </w:trPr>
        <w:tc>
          <w:tcPr>
            <w:tcW w:w="1006"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kern w:val="0"/>
                <w:szCs w:val="21"/>
              </w:rPr>
            </w:pPr>
          </w:p>
        </w:tc>
        <w:tc>
          <w:tcPr>
            <w:tcW w:w="1559"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知识库</w:t>
            </w:r>
          </w:p>
        </w:tc>
        <w:tc>
          <w:tcPr>
            <w:tcW w:w="1843"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技巧、经验等能个人及公共知识库。</w:t>
            </w:r>
          </w:p>
        </w:tc>
      </w:tr>
      <w:tr>
        <w:tblPrEx>
          <w:tblCellMar>
            <w:top w:w="0" w:type="dxa"/>
            <w:left w:w="108" w:type="dxa"/>
            <w:bottom w:w="0" w:type="dxa"/>
            <w:right w:w="108" w:type="dxa"/>
          </w:tblCellMar>
        </w:tblPrEx>
        <w:trPr>
          <w:trHeight w:val="1290" w:hRule="atLeast"/>
          <w:jc w:val="center"/>
        </w:trPr>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系统对接</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OA、QP等行内系统对接</w:t>
            </w:r>
          </w:p>
        </w:tc>
        <w:tc>
          <w:tcPr>
            <w:tcW w:w="184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关联系统打通。</w:t>
            </w:r>
          </w:p>
          <w:p>
            <w:pPr>
              <w:pStyle w:val="30"/>
              <w:widowControl/>
              <w:numPr>
                <w:ilvl w:val="0"/>
                <w:numId w:val="1"/>
              </w:numPr>
              <w:ind w:firstLineChars="0"/>
              <w:jc w:val="left"/>
              <w:rPr>
                <w:rFonts w:ascii="宋体" w:hAnsi="宋体" w:cs="宋体"/>
                <w:kern w:val="0"/>
                <w:szCs w:val="21"/>
              </w:rPr>
            </w:pPr>
            <w:r>
              <w:rPr>
                <w:rFonts w:hint="eastAsia" w:ascii="宋体" w:hAnsi="宋体" w:cs="宋体"/>
                <w:kern w:val="0"/>
                <w:szCs w:val="21"/>
              </w:rPr>
              <w:t>OA:办公自动化系统;</w:t>
            </w:r>
          </w:p>
          <w:p>
            <w:pPr>
              <w:pStyle w:val="30"/>
              <w:widowControl/>
              <w:numPr>
                <w:ilvl w:val="0"/>
                <w:numId w:val="1"/>
              </w:numPr>
              <w:ind w:firstLineChars="0"/>
              <w:jc w:val="left"/>
              <w:rPr>
                <w:rFonts w:ascii="宋体" w:hAnsi="宋体" w:cs="宋体"/>
                <w:kern w:val="0"/>
                <w:szCs w:val="21"/>
              </w:rPr>
            </w:pPr>
            <w:r>
              <w:rPr>
                <w:rFonts w:hint="eastAsia" w:ascii="宋体" w:hAnsi="宋体" w:cs="宋体"/>
                <w:kern w:val="0"/>
                <w:szCs w:val="21"/>
              </w:rPr>
              <w:t>QP:研发管理系统。</w:t>
            </w:r>
          </w:p>
        </w:tc>
      </w:tr>
      <w:tr>
        <w:tblPrEx>
          <w:tblCellMar>
            <w:top w:w="0" w:type="dxa"/>
            <w:left w:w="108" w:type="dxa"/>
            <w:bottom w:w="0" w:type="dxa"/>
            <w:right w:w="108" w:type="dxa"/>
          </w:tblCellMar>
        </w:tblPrEx>
        <w:trPr>
          <w:trHeight w:val="1560" w:hRule="atLeast"/>
          <w:jc w:val="center"/>
        </w:trPr>
        <w:tc>
          <w:tcPr>
            <w:tcW w:w="100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Cs w:val="21"/>
              </w:rPr>
            </w:pPr>
            <w:r>
              <w:rPr>
                <w:rFonts w:hint="eastAsia" w:ascii="宋体" w:hAnsi="宋体" w:cs="宋体"/>
                <w:b/>
                <w:bCs/>
                <w:kern w:val="0"/>
                <w:szCs w:val="21"/>
              </w:rPr>
              <w:t>业务咨询辅导</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完成业务场景框架梳理搭建、资产入库，以及方法论和体系的培训、指导</w:t>
            </w:r>
          </w:p>
        </w:tc>
        <w:tc>
          <w:tcPr>
            <w:tcW w:w="184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kern w:val="0"/>
                <w:szCs w:val="21"/>
              </w:rPr>
            </w:pPr>
            <w:r>
              <w:rPr>
                <w:rFonts w:hint="eastAsia" w:ascii="宋体" w:hAnsi="宋体" w:cs="宋体"/>
                <w:kern w:val="0"/>
                <w:szCs w:val="21"/>
              </w:rPr>
              <w:t>-</w:t>
            </w:r>
          </w:p>
        </w:tc>
        <w:tc>
          <w:tcPr>
            <w:tcW w:w="47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项目顺利落地，基本实现项目目标。</w:t>
            </w:r>
          </w:p>
        </w:tc>
      </w:tr>
    </w:tbl>
    <w:p>
      <w:pPr>
        <w:spacing w:line="360" w:lineRule="auto"/>
        <w:ind w:firstLine="105" w:firstLineChars="50"/>
        <w:rPr>
          <w:rFonts w:ascii="宋体" w:hAnsi="宋体" w:cs="宋体"/>
          <w:szCs w:val="21"/>
        </w:rPr>
      </w:pPr>
      <w:r>
        <w:rPr>
          <w:rFonts w:hint="eastAsia" w:ascii="宋体" w:hAnsi="宋体" w:cs="宋体"/>
          <w:szCs w:val="21"/>
        </w:rPr>
        <w:t>（二）非功能性需求如下：</w:t>
      </w:r>
    </w:p>
    <w:tbl>
      <w:tblPr>
        <w:tblStyle w:val="12"/>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7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748" w:type="dxa"/>
            <w:shd w:val="clear" w:color="000000" w:fill="FFFFFF"/>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rPr>
              <w:t>类型</w:t>
            </w:r>
          </w:p>
        </w:tc>
        <w:tc>
          <w:tcPr>
            <w:tcW w:w="7420" w:type="dxa"/>
            <w:shd w:val="clear" w:color="000000" w:fill="FFFFFF"/>
            <w:vAlign w:val="center"/>
          </w:tcPr>
          <w:p>
            <w:pPr>
              <w:widowControl/>
              <w:spacing w:line="360" w:lineRule="auto"/>
              <w:jc w:val="center"/>
              <w:rPr>
                <w:rFonts w:ascii="宋体" w:hAnsi="宋体" w:cs="宋体"/>
                <w:b/>
                <w:bCs/>
                <w:kern w:val="0"/>
                <w:szCs w:val="21"/>
              </w:rPr>
            </w:pPr>
            <w:r>
              <w:rPr>
                <w:rFonts w:hint="eastAsia" w:ascii="宋体" w:hAnsi="宋体" w:cs="宋体"/>
                <w:b/>
                <w:bCs/>
                <w:kern w:val="0"/>
                <w:szCs w:val="21"/>
              </w:rPr>
              <w:t>需求说明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4" w:hRule="atLeast"/>
          <w:jc w:val="center"/>
        </w:trPr>
        <w:tc>
          <w:tcPr>
            <w:tcW w:w="1748" w:type="dxa"/>
            <w:shd w:val="clear" w:color="000000" w:fill="FFFFFF"/>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性能</w:t>
            </w:r>
          </w:p>
        </w:tc>
        <w:tc>
          <w:tcPr>
            <w:tcW w:w="7420" w:type="dxa"/>
            <w:shd w:val="clear" w:color="000000" w:fill="FFFFFF"/>
            <w:vAlign w:val="center"/>
          </w:tcPr>
          <w:tbl>
            <w:tblPr>
              <w:tblStyle w:val="12"/>
              <w:tblW w:w="7054" w:type="dxa"/>
              <w:jc w:val="center"/>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13"/>
              <w:gridCol w:w="1640"/>
              <w:gridCol w:w="3101"/>
            </w:tblGrid>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Borders>
                    <w:top w:val="single" w:color="000000" w:sz="12" w:space="0"/>
                    <w:bottom w:val="single" w:color="000000" w:sz="4" w:space="0"/>
                  </w:tcBorders>
                  <w:shd w:val="clear" w:color="auto" w:fill="D9D9D9"/>
                </w:tcPr>
                <w:p>
                  <w:pPr>
                    <w:pStyle w:val="29"/>
                    <w:spacing w:line="276" w:lineRule="auto"/>
                    <w:jc w:val="center"/>
                    <w:rPr>
                      <w:rFonts w:ascii="宋体" w:hAnsi="宋体" w:cs="宋体"/>
                      <w:b/>
                      <w:iCs/>
                      <w:color w:val="000000"/>
                      <w:sz w:val="21"/>
                      <w:szCs w:val="21"/>
                    </w:rPr>
                  </w:pPr>
                  <w:r>
                    <w:rPr>
                      <w:rFonts w:hint="eastAsia" w:ascii="宋体" w:hAnsi="宋体" w:cs="宋体"/>
                      <w:b/>
                      <w:iCs/>
                      <w:color w:val="000000"/>
                      <w:sz w:val="21"/>
                      <w:szCs w:val="21"/>
                    </w:rPr>
                    <w:t>数据项</w:t>
                  </w:r>
                </w:p>
              </w:tc>
              <w:tc>
                <w:tcPr>
                  <w:tcW w:w="1640" w:type="dxa"/>
                  <w:tcBorders>
                    <w:top w:val="single" w:color="000000" w:sz="12" w:space="0"/>
                    <w:bottom w:val="single" w:color="000000" w:sz="4" w:space="0"/>
                  </w:tcBorders>
                  <w:shd w:val="clear" w:color="auto" w:fill="D9D9D9"/>
                </w:tcPr>
                <w:p>
                  <w:pPr>
                    <w:pStyle w:val="29"/>
                    <w:spacing w:line="276" w:lineRule="auto"/>
                    <w:rPr>
                      <w:rFonts w:ascii="宋体" w:hAnsi="宋体" w:cs="宋体"/>
                      <w:b/>
                      <w:iCs/>
                      <w:color w:val="000000"/>
                      <w:sz w:val="21"/>
                      <w:szCs w:val="21"/>
                    </w:rPr>
                  </w:pPr>
                  <w:r>
                    <w:rPr>
                      <w:rFonts w:hint="eastAsia" w:ascii="宋体" w:hAnsi="宋体" w:cs="宋体"/>
                      <w:b/>
                      <w:iCs/>
                      <w:color w:val="000000"/>
                      <w:sz w:val="21"/>
                      <w:szCs w:val="21"/>
                    </w:rPr>
                    <w:t>指标要求</w:t>
                  </w:r>
                </w:p>
              </w:tc>
              <w:tc>
                <w:tcPr>
                  <w:tcW w:w="3101" w:type="dxa"/>
                  <w:tcBorders>
                    <w:top w:val="single" w:color="000000" w:sz="12" w:space="0"/>
                    <w:left w:val="single" w:color="auto" w:sz="4" w:space="0"/>
                    <w:bottom w:val="single" w:color="000000" w:sz="4" w:space="0"/>
                  </w:tcBorders>
                  <w:shd w:val="clear" w:color="auto" w:fill="D9D9D9"/>
                </w:tcPr>
                <w:p>
                  <w:pPr>
                    <w:pStyle w:val="29"/>
                    <w:spacing w:line="276" w:lineRule="auto"/>
                    <w:jc w:val="center"/>
                    <w:rPr>
                      <w:rFonts w:ascii="宋体" w:hAnsi="宋体" w:cs="宋体"/>
                      <w:b/>
                      <w:iCs/>
                      <w:color w:val="000000"/>
                      <w:sz w:val="21"/>
                      <w:szCs w:val="21"/>
                    </w:rPr>
                  </w:pPr>
                  <w:r>
                    <w:rPr>
                      <w:rFonts w:hint="eastAsia" w:ascii="宋体" w:hAnsi="宋体" w:cs="宋体"/>
                      <w:b/>
                      <w:iCs/>
                      <w:color w:val="000000"/>
                      <w:sz w:val="21"/>
                      <w:szCs w:val="21"/>
                    </w:rPr>
                    <w:t>备注</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Borders>
                    <w:top w:val="single" w:color="000000" w:sz="4" w:space="0"/>
                  </w:tcBorders>
                </w:tcPr>
                <w:p>
                  <w:pPr>
                    <w:pStyle w:val="29"/>
                    <w:spacing w:line="276" w:lineRule="auto"/>
                    <w:rPr>
                      <w:rFonts w:ascii="宋体" w:hAnsi="宋体" w:cs="宋体"/>
                      <w:iCs/>
                      <w:sz w:val="21"/>
                      <w:szCs w:val="21"/>
                    </w:rPr>
                  </w:pPr>
                  <w:r>
                    <w:rPr>
                      <w:rFonts w:hint="eastAsia" w:ascii="宋体" w:hAnsi="宋体" w:cs="宋体"/>
                      <w:iCs/>
                      <w:sz w:val="21"/>
                      <w:szCs w:val="21"/>
                    </w:rPr>
                    <w:t>支持最大用户数</w:t>
                  </w:r>
                </w:p>
              </w:tc>
              <w:tc>
                <w:tcPr>
                  <w:tcW w:w="1640" w:type="dxa"/>
                  <w:tcBorders>
                    <w:top w:val="single" w:color="000000" w:sz="4" w:space="0"/>
                  </w:tcBorders>
                </w:tcPr>
                <w:p>
                  <w:pPr>
                    <w:pStyle w:val="29"/>
                    <w:spacing w:line="276" w:lineRule="auto"/>
                    <w:rPr>
                      <w:rFonts w:ascii="宋体" w:hAnsi="宋体" w:cs="宋体"/>
                      <w:iCs/>
                      <w:sz w:val="21"/>
                      <w:szCs w:val="21"/>
                    </w:rPr>
                  </w:pPr>
                  <w:r>
                    <w:rPr>
                      <w:rFonts w:hint="eastAsia" w:ascii="宋体" w:hAnsi="宋体" w:cs="宋体"/>
                      <w:iCs/>
                      <w:sz w:val="21"/>
                      <w:szCs w:val="21"/>
                    </w:rPr>
                    <w:t>6000</w:t>
                  </w:r>
                </w:p>
              </w:tc>
              <w:tc>
                <w:tcPr>
                  <w:tcW w:w="3101" w:type="dxa"/>
                  <w:tcBorders>
                    <w:top w:val="single" w:color="000000" w:sz="4" w:space="0"/>
                    <w:left w:val="single" w:color="auto" w:sz="4" w:space="0"/>
                  </w:tcBorders>
                </w:tcPr>
                <w:p>
                  <w:pPr>
                    <w:pStyle w:val="29"/>
                    <w:spacing w:line="276" w:lineRule="auto"/>
                    <w:rPr>
                      <w:rFonts w:ascii="宋体" w:hAnsi="宋体" w:cs="宋体"/>
                      <w:iCs/>
                      <w:sz w:val="21"/>
                      <w:szCs w:val="21"/>
                    </w:rPr>
                  </w:pPr>
                  <w:r>
                    <w:rPr>
                      <w:rFonts w:hint="eastAsia" w:ascii="宋体" w:hAnsi="宋体" w:cs="宋体"/>
                      <w:iCs/>
                      <w:sz w:val="21"/>
                      <w:szCs w:val="21"/>
                    </w:rPr>
                    <w:t>要使用本系统的所有用户</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Pr>
                <w:p>
                  <w:pPr>
                    <w:pStyle w:val="29"/>
                    <w:spacing w:line="276" w:lineRule="auto"/>
                    <w:rPr>
                      <w:rFonts w:ascii="宋体" w:hAnsi="宋体" w:cs="宋体"/>
                      <w:iCs/>
                      <w:sz w:val="21"/>
                      <w:szCs w:val="21"/>
                    </w:rPr>
                  </w:pPr>
                  <w:r>
                    <w:rPr>
                      <w:rFonts w:hint="eastAsia" w:ascii="宋体" w:hAnsi="宋体" w:cs="宋体"/>
                      <w:iCs/>
                      <w:sz w:val="21"/>
                      <w:szCs w:val="21"/>
                    </w:rPr>
                    <w:t>支持最大并发用户数</w:t>
                  </w:r>
                </w:p>
              </w:tc>
              <w:tc>
                <w:tcPr>
                  <w:tcW w:w="1640" w:type="dxa"/>
                </w:tcPr>
                <w:p>
                  <w:pPr>
                    <w:pStyle w:val="29"/>
                    <w:spacing w:line="276" w:lineRule="auto"/>
                    <w:rPr>
                      <w:rFonts w:ascii="宋体" w:hAnsi="宋体" w:cs="宋体"/>
                      <w:iCs/>
                      <w:sz w:val="21"/>
                      <w:szCs w:val="21"/>
                    </w:rPr>
                  </w:pPr>
                  <w:r>
                    <w:rPr>
                      <w:rFonts w:hint="eastAsia" w:ascii="宋体" w:hAnsi="宋体" w:cs="宋体"/>
                      <w:iCs/>
                      <w:sz w:val="21"/>
                      <w:szCs w:val="21"/>
                    </w:rPr>
                    <w:t>100</w:t>
                  </w:r>
                </w:p>
              </w:tc>
              <w:tc>
                <w:tcPr>
                  <w:tcW w:w="3101" w:type="dxa"/>
                  <w:tcBorders>
                    <w:left w:val="single" w:color="auto" w:sz="4" w:space="0"/>
                  </w:tcBorders>
                </w:tcPr>
                <w:p>
                  <w:pPr>
                    <w:pStyle w:val="29"/>
                    <w:spacing w:line="276" w:lineRule="auto"/>
                    <w:rPr>
                      <w:rFonts w:ascii="宋体" w:hAnsi="宋体" w:cs="宋体"/>
                      <w:iCs/>
                      <w:sz w:val="21"/>
                      <w:szCs w:val="21"/>
                    </w:rPr>
                  </w:pPr>
                  <w:r>
                    <w:rPr>
                      <w:rFonts w:hint="eastAsia" w:ascii="宋体" w:hAnsi="宋体" w:cs="宋体"/>
                      <w:iCs/>
                      <w:sz w:val="21"/>
                      <w:szCs w:val="21"/>
                    </w:rPr>
                    <w:t>瞬间能同时处理的最大用户数</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Pr>
                <w:p>
                  <w:pPr>
                    <w:pStyle w:val="29"/>
                    <w:spacing w:line="276" w:lineRule="auto"/>
                    <w:rPr>
                      <w:rFonts w:ascii="宋体" w:hAnsi="宋体" w:cs="宋体"/>
                      <w:iCs/>
                      <w:sz w:val="21"/>
                      <w:szCs w:val="21"/>
                    </w:rPr>
                  </w:pPr>
                  <w:r>
                    <w:rPr>
                      <w:rFonts w:hint="eastAsia" w:ascii="宋体" w:hAnsi="宋体" w:cs="宋体"/>
                      <w:iCs/>
                      <w:sz w:val="21"/>
                      <w:szCs w:val="21"/>
                    </w:rPr>
                    <w:t>支持日交易量</w:t>
                  </w:r>
                </w:p>
              </w:tc>
              <w:tc>
                <w:tcPr>
                  <w:tcW w:w="1640" w:type="dxa"/>
                </w:tcPr>
                <w:p>
                  <w:pPr>
                    <w:pStyle w:val="29"/>
                    <w:spacing w:line="276" w:lineRule="auto"/>
                    <w:rPr>
                      <w:rFonts w:ascii="宋体" w:hAnsi="宋体" w:cs="宋体"/>
                      <w:iCs/>
                      <w:sz w:val="21"/>
                      <w:szCs w:val="21"/>
                    </w:rPr>
                  </w:pPr>
                  <w:r>
                    <w:rPr>
                      <w:rFonts w:hint="eastAsia" w:ascii="宋体" w:hAnsi="宋体" w:cs="宋体"/>
                      <w:iCs/>
                      <w:sz w:val="21"/>
                      <w:szCs w:val="21"/>
                    </w:rPr>
                    <w:t>1万笔</w:t>
                  </w:r>
                </w:p>
              </w:tc>
              <w:tc>
                <w:tcPr>
                  <w:tcW w:w="3101" w:type="dxa"/>
                  <w:tcBorders>
                    <w:left w:val="single" w:color="auto" w:sz="4" w:space="0"/>
                  </w:tcBorders>
                </w:tcPr>
                <w:p>
                  <w:pPr>
                    <w:pStyle w:val="29"/>
                    <w:spacing w:line="276" w:lineRule="auto"/>
                    <w:rPr>
                      <w:rFonts w:ascii="宋体" w:hAnsi="宋体" w:cs="宋体"/>
                      <w:iCs/>
                      <w:sz w:val="21"/>
                      <w:szCs w:val="21"/>
                    </w:rPr>
                  </w:pPr>
                  <w:r>
                    <w:rPr>
                      <w:rFonts w:hint="eastAsia" w:ascii="宋体" w:hAnsi="宋体" w:cs="宋体"/>
                      <w:iCs/>
                      <w:sz w:val="21"/>
                      <w:szCs w:val="21"/>
                    </w:rPr>
                    <w:t>支持接收处理的日交易量</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Pr>
                <w:p>
                  <w:pPr>
                    <w:pStyle w:val="29"/>
                    <w:spacing w:line="276" w:lineRule="auto"/>
                    <w:rPr>
                      <w:rFonts w:ascii="宋体" w:hAnsi="宋体" w:cs="宋体"/>
                      <w:iCs/>
                      <w:sz w:val="21"/>
                      <w:szCs w:val="21"/>
                    </w:rPr>
                  </w:pPr>
                  <w:r>
                    <w:rPr>
                      <w:rFonts w:hint="eastAsia" w:ascii="宋体" w:hAnsi="宋体" w:cs="宋体"/>
                      <w:iCs/>
                      <w:sz w:val="21"/>
                      <w:szCs w:val="21"/>
                    </w:rPr>
                    <w:t>平均响应时间（ms）</w:t>
                  </w:r>
                </w:p>
              </w:tc>
              <w:tc>
                <w:tcPr>
                  <w:tcW w:w="1640" w:type="dxa"/>
                </w:tcPr>
                <w:p>
                  <w:pPr>
                    <w:pStyle w:val="29"/>
                    <w:spacing w:line="276" w:lineRule="auto"/>
                    <w:rPr>
                      <w:rFonts w:ascii="宋体" w:hAnsi="宋体" w:cs="宋体"/>
                      <w:iCs/>
                      <w:sz w:val="21"/>
                      <w:szCs w:val="21"/>
                    </w:rPr>
                  </w:pPr>
                  <w:r>
                    <w:rPr>
                      <w:rFonts w:hint="eastAsia" w:ascii="宋体" w:hAnsi="宋体" w:cs="宋体"/>
                      <w:iCs/>
                      <w:sz w:val="21"/>
                      <w:szCs w:val="21"/>
                    </w:rPr>
                    <w:t>500</w:t>
                  </w:r>
                </w:p>
              </w:tc>
              <w:tc>
                <w:tcPr>
                  <w:tcW w:w="3101" w:type="dxa"/>
                  <w:tcBorders>
                    <w:left w:val="single" w:color="auto" w:sz="4" w:space="0"/>
                  </w:tcBorders>
                </w:tcPr>
                <w:p>
                  <w:pPr>
                    <w:pStyle w:val="29"/>
                    <w:spacing w:line="276" w:lineRule="auto"/>
                    <w:rPr>
                      <w:rFonts w:ascii="宋体" w:hAnsi="宋体" w:cs="宋体"/>
                      <w:iCs/>
                      <w:sz w:val="21"/>
                      <w:szCs w:val="21"/>
                    </w:rPr>
                  </w:pPr>
                  <w:r>
                    <w:rPr>
                      <w:rFonts w:hint="eastAsia" w:ascii="宋体" w:hAnsi="宋体" w:cs="宋体"/>
                      <w:iCs/>
                      <w:sz w:val="21"/>
                      <w:szCs w:val="21"/>
                    </w:rPr>
                    <w:t>交易平均响应时间</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Pr>
                <w:p>
                  <w:pPr>
                    <w:pStyle w:val="29"/>
                    <w:spacing w:line="276" w:lineRule="auto"/>
                    <w:rPr>
                      <w:rFonts w:ascii="宋体" w:hAnsi="宋体" w:cs="宋体"/>
                      <w:iCs/>
                      <w:sz w:val="21"/>
                      <w:szCs w:val="21"/>
                    </w:rPr>
                  </w:pPr>
                  <w:r>
                    <w:rPr>
                      <w:rFonts w:hint="eastAsia" w:ascii="宋体" w:hAnsi="宋体" w:cs="宋体"/>
                      <w:iCs/>
                      <w:sz w:val="21"/>
                      <w:szCs w:val="21"/>
                    </w:rPr>
                    <w:t>支持交易处理吞吐量（TPS）</w:t>
                  </w:r>
                </w:p>
              </w:tc>
              <w:tc>
                <w:tcPr>
                  <w:tcW w:w="1640" w:type="dxa"/>
                </w:tcPr>
                <w:p>
                  <w:pPr>
                    <w:pStyle w:val="29"/>
                    <w:spacing w:line="276" w:lineRule="auto"/>
                    <w:rPr>
                      <w:rFonts w:ascii="宋体" w:hAnsi="宋体" w:cs="宋体"/>
                      <w:iCs/>
                      <w:sz w:val="21"/>
                      <w:szCs w:val="21"/>
                    </w:rPr>
                  </w:pPr>
                  <w:r>
                    <w:rPr>
                      <w:rFonts w:hint="eastAsia" w:ascii="宋体" w:hAnsi="宋体" w:cs="宋体"/>
                      <w:iCs/>
                      <w:sz w:val="21"/>
                      <w:szCs w:val="21"/>
                    </w:rPr>
                    <w:t>100</w:t>
                  </w:r>
                </w:p>
              </w:tc>
              <w:tc>
                <w:tcPr>
                  <w:tcW w:w="3101" w:type="dxa"/>
                  <w:tcBorders>
                    <w:left w:val="single" w:color="auto" w:sz="4" w:space="0"/>
                  </w:tcBorders>
                </w:tcPr>
                <w:p>
                  <w:pPr>
                    <w:pStyle w:val="29"/>
                    <w:spacing w:line="276" w:lineRule="auto"/>
                    <w:rPr>
                      <w:rFonts w:ascii="宋体" w:hAnsi="宋体" w:cs="宋体"/>
                      <w:iCs/>
                      <w:sz w:val="21"/>
                      <w:szCs w:val="21"/>
                    </w:rPr>
                  </w:pPr>
                  <w:r>
                    <w:rPr>
                      <w:rFonts w:hint="eastAsia" w:ascii="宋体" w:hAnsi="宋体" w:cs="宋体"/>
                      <w:iCs/>
                      <w:sz w:val="21"/>
                      <w:szCs w:val="21"/>
                    </w:rPr>
                    <w:t>平均每秒能接收并完成处理的交易量</w:t>
                  </w: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Pr>
                <w:p>
                  <w:pPr>
                    <w:pStyle w:val="29"/>
                    <w:spacing w:line="276" w:lineRule="auto"/>
                    <w:rPr>
                      <w:rFonts w:ascii="宋体" w:hAnsi="宋体" w:cs="宋体"/>
                      <w:iCs/>
                      <w:sz w:val="21"/>
                      <w:szCs w:val="21"/>
                    </w:rPr>
                  </w:pPr>
                  <w:r>
                    <w:rPr>
                      <w:rFonts w:hint="eastAsia" w:ascii="宋体" w:hAnsi="宋体" w:cs="宋体"/>
                      <w:iCs/>
                      <w:sz w:val="21"/>
                      <w:szCs w:val="21"/>
                    </w:rPr>
                    <w:t>CPU使用率（%）</w:t>
                  </w:r>
                </w:p>
              </w:tc>
              <w:tc>
                <w:tcPr>
                  <w:tcW w:w="1640" w:type="dxa"/>
                </w:tcPr>
                <w:p>
                  <w:pPr>
                    <w:pStyle w:val="29"/>
                    <w:spacing w:line="276" w:lineRule="auto"/>
                    <w:rPr>
                      <w:rFonts w:ascii="宋体" w:hAnsi="宋体" w:cs="宋体"/>
                      <w:iCs/>
                      <w:sz w:val="21"/>
                      <w:szCs w:val="21"/>
                    </w:rPr>
                  </w:pPr>
                  <w:r>
                    <w:rPr>
                      <w:rFonts w:hint="eastAsia" w:ascii="宋体" w:hAnsi="宋体" w:cs="宋体"/>
                      <w:iCs/>
                      <w:sz w:val="21"/>
                      <w:szCs w:val="21"/>
                    </w:rPr>
                    <w:t>70</w:t>
                  </w:r>
                </w:p>
              </w:tc>
              <w:tc>
                <w:tcPr>
                  <w:tcW w:w="3101" w:type="dxa"/>
                  <w:tcBorders>
                    <w:left w:val="single" w:color="auto" w:sz="4" w:space="0"/>
                  </w:tcBorders>
                </w:tcPr>
                <w:p>
                  <w:pPr>
                    <w:pStyle w:val="29"/>
                    <w:spacing w:line="276" w:lineRule="auto"/>
                    <w:rPr>
                      <w:rFonts w:ascii="宋体" w:hAnsi="宋体" w:cs="宋体"/>
                      <w:iCs/>
                      <w:sz w:val="21"/>
                      <w:szCs w:val="21"/>
                    </w:rPr>
                  </w:pP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Pr>
                <w:p>
                  <w:pPr>
                    <w:pStyle w:val="29"/>
                    <w:spacing w:line="276" w:lineRule="auto"/>
                    <w:rPr>
                      <w:rFonts w:ascii="宋体" w:hAnsi="宋体" w:cs="宋体"/>
                      <w:iCs/>
                      <w:sz w:val="21"/>
                      <w:szCs w:val="21"/>
                    </w:rPr>
                  </w:pPr>
                  <w:r>
                    <w:rPr>
                      <w:rFonts w:hint="eastAsia" w:ascii="宋体" w:hAnsi="宋体" w:cs="宋体"/>
                      <w:iCs/>
                      <w:sz w:val="21"/>
                      <w:szCs w:val="21"/>
                    </w:rPr>
                    <w:t>内存使用率（%）</w:t>
                  </w:r>
                </w:p>
              </w:tc>
              <w:tc>
                <w:tcPr>
                  <w:tcW w:w="1640" w:type="dxa"/>
                </w:tcPr>
                <w:p>
                  <w:pPr>
                    <w:pStyle w:val="29"/>
                    <w:spacing w:line="276" w:lineRule="auto"/>
                    <w:rPr>
                      <w:rFonts w:ascii="宋体" w:hAnsi="宋体" w:cs="宋体"/>
                      <w:iCs/>
                      <w:sz w:val="21"/>
                      <w:szCs w:val="21"/>
                    </w:rPr>
                  </w:pPr>
                  <w:r>
                    <w:rPr>
                      <w:rFonts w:hint="eastAsia" w:ascii="宋体" w:hAnsi="宋体" w:cs="宋体"/>
                      <w:iCs/>
                      <w:sz w:val="21"/>
                      <w:szCs w:val="21"/>
                    </w:rPr>
                    <w:t>70</w:t>
                  </w:r>
                </w:p>
              </w:tc>
              <w:tc>
                <w:tcPr>
                  <w:tcW w:w="3101" w:type="dxa"/>
                  <w:tcBorders>
                    <w:left w:val="single" w:color="auto" w:sz="4" w:space="0"/>
                  </w:tcBorders>
                </w:tcPr>
                <w:p>
                  <w:pPr>
                    <w:pStyle w:val="29"/>
                    <w:spacing w:line="276" w:lineRule="auto"/>
                    <w:rPr>
                      <w:rFonts w:ascii="宋体" w:hAnsi="宋体" w:cs="宋体"/>
                      <w:iCs/>
                      <w:sz w:val="21"/>
                      <w:szCs w:val="21"/>
                    </w:rPr>
                  </w:pP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Pr>
                <w:p>
                  <w:pPr>
                    <w:pStyle w:val="29"/>
                    <w:spacing w:line="276" w:lineRule="auto"/>
                    <w:rPr>
                      <w:rFonts w:ascii="宋体" w:hAnsi="宋体" w:cs="宋体"/>
                      <w:iCs/>
                      <w:sz w:val="21"/>
                      <w:szCs w:val="21"/>
                    </w:rPr>
                  </w:pPr>
                  <w:r>
                    <w:rPr>
                      <w:rFonts w:hint="eastAsia" w:ascii="宋体" w:hAnsi="宋体" w:cs="宋体"/>
                      <w:iCs/>
                      <w:sz w:val="21"/>
                      <w:szCs w:val="21"/>
                    </w:rPr>
                    <w:t>IO使用率（%）</w:t>
                  </w:r>
                </w:p>
              </w:tc>
              <w:tc>
                <w:tcPr>
                  <w:tcW w:w="1640" w:type="dxa"/>
                </w:tcPr>
                <w:p>
                  <w:pPr>
                    <w:pStyle w:val="29"/>
                    <w:spacing w:line="276" w:lineRule="auto"/>
                    <w:rPr>
                      <w:rFonts w:ascii="宋体" w:hAnsi="宋体" w:cs="宋体"/>
                      <w:iCs/>
                      <w:sz w:val="21"/>
                      <w:szCs w:val="21"/>
                    </w:rPr>
                  </w:pPr>
                  <w:r>
                    <w:rPr>
                      <w:rFonts w:hint="eastAsia" w:ascii="宋体" w:hAnsi="宋体" w:cs="宋体"/>
                      <w:iCs/>
                      <w:sz w:val="21"/>
                      <w:szCs w:val="21"/>
                    </w:rPr>
                    <w:t>70</w:t>
                  </w:r>
                </w:p>
              </w:tc>
              <w:tc>
                <w:tcPr>
                  <w:tcW w:w="3101" w:type="dxa"/>
                  <w:tcBorders>
                    <w:left w:val="single" w:color="auto" w:sz="4" w:space="0"/>
                  </w:tcBorders>
                </w:tcPr>
                <w:p>
                  <w:pPr>
                    <w:pStyle w:val="29"/>
                    <w:spacing w:line="276" w:lineRule="auto"/>
                    <w:rPr>
                      <w:rFonts w:ascii="宋体" w:hAnsi="宋体" w:cs="宋体"/>
                      <w:iCs/>
                      <w:sz w:val="21"/>
                      <w:szCs w:val="21"/>
                    </w:rPr>
                  </w:pPr>
                </w:p>
              </w:tc>
            </w:tr>
            <w:tr>
              <w:tblPrEx>
                <w:tblBorders>
                  <w:top w:val="single" w:color="000000" w:sz="12" w:space="0"/>
                  <w:left w:val="single" w:color="000000" w:sz="4" w:space="0"/>
                  <w:bottom w:val="single" w:color="000000" w:sz="12"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13" w:type="dxa"/>
                </w:tcPr>
                <w:p>
                  <w:pPr>
                    <w:pStyle w:val="29"/>
                    <w:spacing w:line="276" w:lineRule="auto"/>
                    <w:rPr>
                      <w:rFonts w:ascii="宋体" w:hAnsi="宋体" w:cs="宋体"/>
                      <w:iCs/>
                      <w:sz w:val="21"/>
                      <w:szCs w:val="21"/>
                    </w:rPr>
                  </w:pPr>
                  <w:r>
                    <w:rPr>
                      <w:rFonts w:hint="eastAsia" w:ascii="宋体" w:hAnsi="宋体" w:cs="宋体"/>
                      <w:iCs/>
                      <w:sz w:val="21"/>
                      <w:szCs w:val="21"/>
                    </w:rPr>
                    <w:t>批处理处理时间</w:t>
                  </w:r>
                </w:p>
              </w:tc>
              <w:tc>
                <w:tcPr>
                  <w:tcW w:w="1640" w:type="dxa"/>
                </w:tcPr>
                <w:p>
                  <w:pPr>
                    <w:pStyle w:val="29"/>
                    <w:spacing w:line="276" w:lineRule="auto"/>
                    <w:rPr>
                      <w:rFonts w:ascii="宋体" w:hAnsi="宋体" w:cs="宋体"/>
                      <w:iCs/>
                      <w:sz w:val="21"/>
                      <w:szCs w:val="21"/>
                    </w:rPr>
                  </w:pPr>
                  <w:r>
                    <w:rPr>
                      <w:rFonts w:hint="eastAsia" w:ascii="宋体" w:hAnsi="宋体" w:cs="宋体"/>
                      <w:iCs/>
                      <w:sz w:val="21"/>
                      <w:szCs w:val="21"/>
                    </w:rPr>
                    <w:t>1小时</w:t>
                  </w:r>
                </w:p>
              </w:tc>
              <w:tc>
                <w:tcPr>
                  <w:tcW w:w="3101" w:type="dxa"/>
                  <w:tcBorders>
                    <w:left w:val="single" w:color="auto" w:sz="4" w:space="0"/>
                  </w:tcBorders>
                </w:tcPr>
                <w:p>
                  <w:pPr>
                    <w:pStyle w:val="29"/>
                    <w:spacing w:line="276" w:lineRule="auto"/>
                    <w:rPr>
                      <w:rFonts w:ascii="宋体" w:hAnsi="宋体" w:cs="宋体"/>
                      <w:iCs/>
                      <w:sz w:val="21"/>
                      <w:szCs w:val="21"/>
                    </w:rPr>
                  </w:pPr>
                </w:p>
              </w:tc>
            </w:tr>
          </w:tbl>
          <w:p>
            <w:pPr>
              <w:widowControl/>
              <w:spacing w:line="360" w:lineRule="auto"/>
              <w:jc w:val="left"/>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8" w:type="dxa"/>
            <w:shd w:val="clear" w:color="000000" w:fill="FFFFFF"/>
            <w:vAlign w:val="center"/>
          </w:tcPr>
          <w:p>
            <w:pPr>
              <w:widowControl/>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国产化及交付要求</w:t>
            </w:r>
          </w:p>
        </w:tc>
        <w:tc>
          <w:tcPr>
            <w:tcW w:w="7420" w:type="dxa"/>
            <w:shd w:val="clear" w:color="000000" w:fill="FFFFFF"/>
            <w:vAlign w:val="center"/>
          </w:tcPr>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1、需满足采购人的国产化要求，尽量以采购人提供的国产化运行环境进行部署。</w:t>
            </w:r>
          </w:p>
          <w:p>
            <w:pPr>
              <w:widowControl/>
              <w:spacing w:line="360" w:lineRule="auto"/>
              <w:jc w:val="left"/>
              <w:rPr>
                <w:rFonts w:ascii="宋体" w:hAnsi="宋体" w:cs="宋体"/>
                <w:color w:val="000000"/>
                <w:kern w:val="0"/>
                <w:szCs w:val="21"/>
                <w:highlight w:val="none"/>
              </w:rPr>
            </w:pPr>
            <w:r>
              <w:rPr>
                <w:rFonts w:hint="eastAsia" w:ascii="宋体" w:hAnsi="宋体" w:cs="宋体"/>
                <w:color w:val="000000"/>
                <w:kern w:val="0"/>
                <w:szCs w:val="21"/>
                <w:highlight w:val="none"/>
              </w:rPr>
              <w:t>2、采购人提供的国产化运行环境不能满足部署时，可先进行非国产化运行环境部署，待采购人提供满足部署要求的国产化运行环境后，需提供免费国产化升级部署服务，将系统升级部署至国产化运行环境。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8" w:type="dxa"/>
            <w:shd w:val="clear" w:color="000000" w:fill="FFFFFF"/>
            <w:vAlign w:val="center"/>
          </w:tcPr>
          <w:p>
            <w:pPr>
              <w:widowControl/>
              <w:spacing w:line="360" w:lineRule="auto"/>
              <w:jc w:val="center"/>
              <w:rPr>
                <w:rFonts w:ascii="宋体" w:hAnsi="宋体" w:cs="宋体"/>
                <w:color w:val="000000"/>
                <w:kern w:val="0"/>
                <w:szCs w:val="21"/>
              </w:rPr>
            </w:pPr>
            <w:r>
              <w:rPr>
                <w:rFonts w:hint="eastAsia" w:ascii="宋体" w:hAnsi="宋体" w:cs="宋体"/>
                <w:color w:val="000000"/>
                <w:kern w:val="0"/>
                <w:szCs w:val="21"/>
              </w:rPr>
              <w:t>源码及授权</w:t>
            </w:r>
          </w:p>
          <w:p>
            <w:pPr>
              <w:widowControl/>
              <w:spacing w:line="360" w:lineRule="auto"/>
              <w:jc w:val="center"/>
              <w:rPr>
                <w:rFonts w:ascii="宋体" w:hAnsi="宋体" w:cs="宋体"/>
                <w:color w:val="000000"/>
                <w:kern w:val="0"/>
                <w:szCs w:val="21"/>
              </w:rPr>
            </w:pPr>
          </w:p>
        </w:tc>
        <w:tc>
          <w:tcPr>
            <w:tcW w:w="7420" w:type="dxa"/>
            <w:shd w:val="clear" w:color="000000" w:fill="FFFFFF"/>
            <w:vAlign w:val="center"/>
          </w:tcPr>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1.提供全部系统源代码；</w:t>
            </w:r>
          </w:p>
          <w:p>
            <w:pPr>
              <w:widowControl/>
              <w:spacing w:line="360" w:lineRule="auto"/>
              <w:jc w:val="left"/>
              <w:rPr>
                <w:rFonts w:ascii="宋体" w:hAnsi="宋体" w:cs="宋体"/>
                <w:color w:val="000000"/>
                <w:kern w:val="0"/>
                <w:szCs w:val="21"/>
              </w:rPr>
            </w:pPr>
            <w:r>
              <w:rPr>
                <w:rFonts w:hint="eastAsia" w:ascii="宋体" w:hAnsi="宋体" w:cs="宋体"/>
                <w:color w:val="000000"/>
                <w:kern w:val="0"/>
                <w:szCs w:val="21"/>
              </w:rPr>
              <w:t>2.系统的使用不得存在任何限制使用的条件，包括但不限于设置licenses限制部署的机器、限制使用的CPU数量、限制使用的用户数量及信息系统接入的数量等影响系统重新部署或横向扩展的条件。</w:t>
            </w:r>
          </w:p>
        </w:tc>
      </w:tr>
    </w:tbl>
    <w:p>
      <w:pPr>
        <w:pStyle w:val="6"/>
        <w:spacing w:after="0" w:line="360" w:lineRule="auto"/>
        <w:rPr>
          <w:rFonts w:ascii="宋体" w:hAnsi="宋体" w:cs="宋体"/>
          <w:szCs w:val="21"/>
        </w:rPr>
      </w:pPr>
    </w:p>
    <w:p>
      <w:pPr>
        <w:spacing w:line="360" w:lineRule="auto"/>
        <w:rPr>
          <w:rFonts w:ascii="宋体" w:hAnsi="宋体" w:cs="宋体"/>
          <w:b/>
          <w:bCs/>
          <w:szCs w:val="21"/>
        </w:rPr>
      </w:pPr>
      <w:r>
        <w:rPr>
          <w:rFonts w:hint="eastAsia" w:ascii="宋体" w:hAnsi="宋体" w:cs="宋体"/>
          <w:b/>
          <w:bCs/>
          <w:szCs w:val="21"/>
        </w:rPr>
        <w:t>五、项目总体服务要求</w:t>
      </w:r>
    </w:p>
    <w:p>
      <w:pPr>
        <w:spacing w:line="360" w:lineRule="auto"/>
        <w:ind w:firstLine="422" w:firstLineChars="200"/>
        <w:rPr>
          <w:rFonts w:ascii="宋体" w:hAnsi="宋体" w:cs="宋体"/>
          <w:b/>
          <w:bCs/>
          <w:color w:val="000000"/>
          <w:kern w:val="28"/>
          <w:szCs w:val="21"/>
        </w:rPr>
      </w:pPr>
      <w:r>
        <w:rPr>
          <w:rFonts w:hint="eastAsia" w:ascii="宋体" w:hAnsi="宋体" w:cs="宋体"/>
          <w:b/>
          <w:bCs/>
          <w:color w:val="000000"/>
          <w:kern w:val="28"/>
          <w:szCs w:val="21"/>
        </w:rPr>
        <w:t>（一）系统安装期服务</w:t>
      </w:r>
    </w:p>
    <w:p>
      <w:pPr>
        <w:spacing w:line="360" w:lineRule="auto"/>
        <w:ind w:firstLine="420" w:firstLineChars="200"/>
        <w:rPr>
          <w:rFonts w:ascii="宋体" w:hAnsi="宋体" w:cs="宋体"/>
          <w:szCs w:val="21"/>
        </w:rPr>
      </w:pPr>
      <w:r>
        <w:rPr>
          <w:rFonts w:hint="eastAsia" w:ascii="宋体" w:hAnsi="宋体" w:cs="宋体"/>
          <w:szCs w:val="21"/>
        </w:rPr>
        <w:t>供应商负责系统的软硬件安装和调试工作。</w:t>
      </w:r>
    </w:p>
    <w:p>
      <w:pPr>
        <w:spacing w:line="360" w:lineRule="auto"/>
        <w:ind w:firstLine="422" w:firstLineChars="200"/>
        <w:rPr>
          <w:rFonts w:ascii="宋体" w:hAnsi="宋体" w:cs="宋体"/>
          <w:b/>
          <w:bCs/>
          <w:color w:val="000000"/>
          <w:kern w:val="28"/>
          <w:szCs w:val="21"/>
        </w:rPr>
      </w:pPr>
      <w:r>
        <w:rPr>
          <w:rFonts w:hint="eastAsia" w:ascii="宋体" w:hAnsi="宋体" w:cs="宋体"/>
          <w:b/>
          <w:bCs/>
          <w:color w:val="000000"/>
          <w:kern w:val="28"/>
          <w:szCs w:val="21"/>
        </w:rPr>
        <w:t>（二）系统试运行期服务</w:t>
      </w:r>
    </w:p>
    <w:p>
      <w:pPr>
        <w:spacing w:line="360" w:lineRule="auto"/>
        <w:ind w:firstLine="420" w:firstLineChars="200"/>
        <w:rPr>
          <w:rFonts w:ascii="宋体" w:hAnsi="宋体" w:cs="宋体"/>
          <w:szCs w:val="21"/>
        </w:rPr>
      </w:pPr>
      <w:r>
        <w:rPr>
          <w:rFonts w:hint="eastAsia" w:ascii="宋体" w:hAnsi="宋体" w:cs="宋体"/>
          <w:szCs w:val="21"/>
        </w:rPr>
        <w:t>1.派专门人员在现场指导使用人员的操作。</w:t>
      </w:r>
    </w:p>
    <w:p>
      <w:pPr>
        <w:spacing w:line="360" w:lineRule="auto"/>
        <w:ind w:firstLine="420" w:firstLineChars="200"/>
        <w:rPr>
          <w:rFonts w:ascii="宋体" w:hAnsi="宋体" w:cs="宋体"/>
          <w:szCs w:val="21"/>
        </w:rPr>
      </w:pPr>
      <w:r>
        <w:rPr>
          <w:rFonts w:hint="eastAsia" w:ascii="宋体" w:hAnsi="宋体" w:cs="宋体"/>
          <w:szCs w:val="21"/>
        </w:rPr>
        <w:t>2.提供热线电话，接受</w:t>
      </w:r>
      <w:r>
        <w:rPr>
          <w:rFonts w:hint="eastAsia" w:ascii="宋体" w:hAnsi="宋体" w:cs="宋体"/>
          <w:bCs/>
          <w:szCs w:val="21"/>
        </w:rPr>
        <w:t>采购人</w:t>
      </w:r>
      <w:r>
        <w:rPr>
          <w:rFonts w:hint="eastAsia" w:ascii="宋体" w:hAnsi="宋体" w:cs="宋体"/>
          <w:szCs w:val="21"/>
        </w:rPr>
        <w:t>的随时咨询。</w:t>
      </w:r>
    </w:p>
    <w:p>
      <w:pPr>
        <w:spacing w:line="360" w:lineRule="auto"/>
        <w:ind w:firstLine="420" w:firstLineChars="200"/>
        <w:rPr>
          <w:rFonts w:ascii="宋体" w:hAnsi="宋体" w:cs="宋体"/>
          <w:szCs w:val="21"/>
        </w:rPr>
      </w:pPr>
      <w:r>
        <w:rPr>
          <w:rFonts w:hint="eastAsia" w:ascii="宋体" w:hAnsi="宋体" w:cs="宋体"/>
          <w:szCs w:val="21"/>
        </w:rPr>
        <w:t>3.应技术人员的要求，随时讲解系统的结构及设计，包括硬件性能、系统软件、备份设施的特点以及系统管理、系统维护工作中的注意事项。</w:t>
      </w:r>
    </w:p>
    <w:p>
      <w:pPr>
        <w:spacing w:line="360" w:lineRule="auto"/>
        <w:ind w:firstLine="420" w:firstLineChars="200"/>
        <w:rPr>
          <w:rFonts w:ascii="宋体" w:hAnsi="宋体" w:cs="宋体"/>
          <w:szCs w:val="21"/>
        </w:rPr>
      </w:pPr>
      <w:r>
        <w:rPr>
          <w:rFonts w:hint="eastAsia" w:ascii="宋体" w:hAnsi="宋体" w:cs="宋体"/>
          <w:szCs w:val="21"/>
        </w:rPr>
        <w:t>4.集中式技术交流。</w:t>
      </w:r>
    </w:p>
    <w:p>
      <w:pPr>
        <w:spacing w:line="360" w:lineRule="auto"/>
        <w:ind w:firstLine="420" w:firstLineChars="200"/>
        <w:rPr>
          <w:rFonts w:ascii="宋体" w:hAnsi="宋体" w:cs="宋体"/>
          <w:szCs w:val="21"/>
        </w:rPr>
      </w:pPr>
      <w:r>
        <w:rPr>
          <w:rFonts w:hint="eastAsia" w:ascii="宋体" w:hAnsi="宋体" w:cs="宋体"/>
          <w:szCs w:val="21"/>
        </w:rPr>
        <w:t>5.业务试运行期的业务培训和指导服务。</w:t>
      </w:r>
    </w:p>
    <w:p>
      <w:pPr>
        <w:spacing w:line="360" w:lineRule="auto"/>
        <w:ind w:firstLine="422" w:firstLineChars="200"/>
        <w:rPr>
          <w:rFonts w:ascii="宋体" w:hAnsi="宋体" w:cs="宋体"/>
          <w:b/>
          <w:bCs/>
          <w:color w:val="000000"/>
          <w:kern w:val="28"/>
          <w:szCs w:val="21"/>
        </w:rPr>
      </w:pPr>
      <w:r>
        <w:rPr>
          <w:rFonts w:hint="eastAsia" w:ascii="宋体" w:hAnsi="宋体" w:cs="宋体"/>
          <w:b/>
          <w:bCs/>
          <w:color w:val="000000"/>
          <w:kern w:val="28"/>
          <w:szCs w:val="21"/>
        </w:rPr>
        <w:t>（三）系统维护期服务</w:t>
      </w:r>
    </w:p>
    <w:p>
      <w:pPr>
        <w:spacing w:line="360" w:lineRule="auto"/>
        <w:ind w:firstLine="420" w:firstLineChars="200"/>
        <w:rPr>
          <w:rFonts w:ascii="宋体" w:hAnsi="宋体" w:cs="宋体"/>
          <w:szCs w:val="21"/>
        </w:rPr>
      </w:pPr>
      <w:r>
        <w:rPr>
          <w:rFonts w:hint="eastAsia" w:ascii="宋体" w:hAnsi="宋体" w:cs="宋体"/>
          <w:szCs w:val="21"/>
        </w:rPr>
        <w:t>项目终验之日起12个月内，由供应商为</w:t>
      </w:r>
      <w:r>
        <w:rPr>
          <w:rFonts w:hint="eastAsia" w:ascii="宋体" w:hAnsi="宋体" w:cs="宋体"/>
          <w:bCs/>
          <w:szCs w:val="21"/>
        </w:rPr>
        <w:t>采购人</w:t>
      </w:r>
      <w:r>
        <w:rPr>
          <w:rFonts w:hint="eastAsia" w:ascii="宋体" w:hAnsi="宋体" w:cs="宋体"/>
          <w:szCs w:val="21"/>
        </w:rPr>
        <w:t>提供免费维护服务。服务范围为：电话技术咨询及报障、日常故障排除、现场支持、定期巡检服务、系统升级等。维护期结束后供应商需向</w:t>
      </w:r>
      <w:r>
        <w:rPr>
          <w:rFonts w:hint="eastAsia" w:ascii="宋体" w:hAnsi="宋体" w:cs="宋体"/>
          <w:bCs/>
          <w:szCs w:val="21"/>
        </w:rPr>
        <w:t>采购人</w:t>
      </w:r>
      <w:r>
        <w:rPr>
          <w:rFonts w:hint="eastAsia" w:ascii="宋体" w:hAnsi="宋体" w:cs="宋体"/>
          <w:szCs w:val="21"/>
        </w:rPr>
        <w:t>提交系统维护报告，维护报告内容需包括四个季度的巡检时间、内容与发现的问题和解决措施等相关信息。</w:t>
      </w:r>
    </w:p>
    <w:p>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bCs/>
          <w:szCs w:val="21"/>
        </w:rPr>
        <w:t>采购人</w:t>
      </w:r>
      <w:r>
        <w:rPr>
          <w:rFonts w:hint="eastAsia" w:ascii="宋体" w:hAnsi="宋体" w:cs="宋体"/>
          <w:szCs w:val="21"/>
        </w:rPr>
        <w:t>所涉及到的地区为服务的地理范围。</w:t>
      </w:r>
    </w:p>
    <w:p>
      <w:pPr>
        <w:spacing w:line="360" w:lineRule="auto"/>
        <w:ind w:firstLine="420" w:firstLineChars="200"/>
        <w:rPr>
          <w:rFonts w:ascii="宋体" w:hAnsi="宋体" w:cs="宋体"/>
          <w:szCs w:val="21"/>
        </w:rPr>
      </w:pPr>
      <w:r>
        <w:rPr>
          <w:rFonts w:hint="eastAsia" w:ascii="宋体" w:hAnsi="宋体" w:cs="宋体"/>
          <w:szCs w:val="21"/>
        </w:rPr>
        <w:t>2.供应商提供7*24小时的技术支持服务。</w:t>
      </w:r>
    </w:p>
    <w:p>
      <w:pPr>
        <w:spacing w:line="360" w:lineRule="auto"/>
        <w:ind w:firstLine="420" w:firstLineChars="200"/>
        <w:rPr>
          <w:rFonts w:ascii="宋体" w:hAnsi="宋体" w:cs="宋体"/>
          <w:b/>
          <w:szCs w:val="21"/>
        </w:rPr>
      </w:pPr>
      <w:r>
        <w:rPr>
          <w:rFonts w:hint="eastAsia" w:ascii="宋体" w:hAnsi="宋体" w:cs="宋体"/>
          <w:szCs w:val="21"/>
        </w:rPr>
        <w:t>3.根据</w:t>
      </w:r>
      <w:r>
        <w:rPr>
          <w:rFonts w:hint="eastAsia" w:ascii="宋体" w:hAnsi="宋体" w:cs="宋体"/>
          <w:bCs/>
          <w:szCs w:val="21"/>
        </w:rPr>
        <w:t>采购人</w:t>
      </w:r>
      <w:r>
        <w:rPr>
          <w:rFonts w:hint="eastAsia" w:ascii="宋体" w:hAnsi="宋体" w:cs="宋体"/>
          <w:szCs w:val="21"/>
        </w:rPr>
        <w:t>系统故障的紧急程度，供应商将故障和优先级定义为紧急、严重、一般和轻微4个等级，从而提供不同的响应速度（以</w:t>
      </w:r>
      <w:r>
        <w:rPr>
          <w:rFonts w:hint="eastAsia" w:ascii="宋体" w:hAnsi="宋体" w:cs="宋体"/>
          <w:bCs/>
          <w:szCs w:val="21"/>
        </w:rPr>
        <w:t>采购人</w:t>
      </w:r>
      <w:r>
        <w:rPr>
          <w:rFonts w:hint="eastAsia" w:ascii="宋体" w:hAnsi="宋体" w:cs="宋体"/>
          <w:szCs w:val="21"/>
        </w:rPr>
        <w:t>报告故障时间为基准）。</w:t>
      </w:r>
    </w:p>
    <w:p>
      <w:pPr>
        <w:spacing w:line="360" w:lineRule="auto"/>
        <w:ind w:firstLine="420" w:firstLineChars="200"/>
        <w:rPr>
          <w:rFonts w:ascii="宋体" w:hAnsi="宋体" w:cs="宋体"/>
          <w:szCs w:val="21"/>
        </w:rPr>
      </w:pPr>
      <w:r>
        <w:rPr>
          <w:rFonts w:hint="eastAsia" w:ascii="宋体" w:hAnsi="宋体" w:cs="宋体"/>
          <w:szCs w:val="21"/>
        </w:rPr>
        <w:t>4.对于涉及应用系统和数据库系统的系统故障或问题，供应商技术人员将协助</w:t>
      </w:r>
      <w:r>
        <w:rPr>
          <w:rFonts w:hint="eastAsia" w:ascii="宋体" w:hAnsi="宋体" w:cs="宋体"/>
          <w:bCs/>
          <w:szCs w:val="21"/>
        </w:rPr>
        <w:t>采购人</w:t>
      </w:r>
      <w:r>
        <w:rPr>
          <w:rFonts w:hint="eastAsia" w:ascii="宋体" w:hAnsi="宋体" w:cs="宋体"/>
          <w:szCs w:val="21"/>
        </w:rPr>
        <w:t>一起解决，提交解决方案建议供</w:t>
      </w:r>
      <w:r>
        <w:rPr>
          <w:rFonts w:hint="eastAsia" w:ascii="宋体" w:hAnsi="宋体" w:cs="宋体"/>
          <w:bCs/>
          <w:szCs w:val="21"/>
        </w:rPr>
        <w:t>采购人</w:t>
      </w:r>
      <w:r>
        <w:rPr>
          <w:rFonts w:hint="eastAsia" w:ascii="宋体" w:hAnsi="宋体" w:cs="宋体"/>
          <w:szCs w:val="21"/>
        </w:rPr>
        <w:t>参考。</w:t>
      </w:r>
    </w:p>
    <w:p>
      <w:pPr>
        <w:spacing w:line="360" w:lineRule="auto"/>
        <w:ind w:firstLine="420" w:firstLineChars="200"/>
        <w:rPr>
          <w:rFonts w:ascii="宋体" w:hAnsi="宋体" w:cs="宋体"/>
          <w:szCs w:val="21"/>
        </w:rPr>
      </w:pPr>
      <w:r>
        <w:rPr>
          <w:rFonts w:hint="eastAsia" w:ascii="宋体" w:hAnsi="宋体" w:cs="宋体"/>
          <w:szCs w:val="21"/>
        </w:rPr>
        <w:t>（四）在系统使用过程中，供应</w:t>
      </w:r>
      <w:bookmarkStart w:id="0" w:name="_GoBack"/>
      <w:bookmarkEnd w:id="0"/>
      <w:r>
        <w:rPr>
          <w:rFonts w:hint="eastAsia" w:ascii="宋体" w:hAnsi="宋体" w:cs="宋体"/>
          <w:szCs w:val="21"/>
        </w:rPr>
        <w:t>商应及时将系统内已知存在的缺陷和升级要求等信息通知</w:t>
      </w:r>
      <w:r>
        <w:rPr>
          <w:rFonts w:hint="eastAsia" w:ascii="宋体" w:hAnsi="宋体" w:cs="宋体"/>
          <w:bCs/>
          <w:szCs w:val="21"/>
        </w:rPr>
        <w:t>采购人</w:t>
      </w:r>
      <w:r>
        <w:rPr>
          <w:rFonts w:hint="eastAsia" w:ascii="宋体" w:hAnsi="宋体" w:cs="宋体"/>
          <w:szCs w:val="21"/>
        </w:rPr>
        <w:t>，由</w:t>
      </w:r>
      <w:r>
        <w:rPr>
          <w:rFonts w:hint="eastAsia" w:ascii="宋体" w:hAnsi="宋体" w:cs="宋体"/>
          <w:bCs/>
          <w:szCs w:val="21"/>
        </w:rPr>
        <w:t>采购人</w:t>
      </w:r>
      <w:r>
        <w:rPr>
          <w:rFonts w:hint="eastAsia" w:ascii="宋体" w:hAnsi="宋体" w:cs="宋体"/>
          <w:szCs w:val="21"/>
        </w:rPr>
        <w:t>决定是否升级。供应商应对由于系统内设计、工艺或材料的缺陷而造成的任何缺陷或故障负责。</w:t>
      </w:r>
    </w:p>
    <w:p>
      <w:pPr>
        <w:spacing w:line="360" w:lineRule="auto"/>
        <w:ind w:firstLine="420" w:firstLineChars="200"/>
        <w:rPr>
          <w:rFonts w:ascii="宋体" w:hAnsi="宋体" w:cs="宋体"/>
          <w:szCs w:val="21"/>
        </w:rPr>
      </w:pPr>
      <w:r>
        <w:rPr>
          <w:rFonts w:hint="eastAsia" w:ascii="宋体" w:hAnsi="宋体" w:cs="宋体"/>
          <w:szCs w:val="21"/>
        </w:rPr>
        <w:t>（五）供应商需为项目配备经验丰富和经专业技术认证的工程师，维护服务工程师保持相对的稳定性。</w:t>
      </w:r>
    </w:p>
    <w:p>
      <w:pPr>
        <w:spacing w:line="360" w:lineRule="auto"/>
        <w:ind w:firstLine="420" w:firstLineChars="200"/>
        <w:rPr>
          <w:rFonts w:ascii="宋体" w:hAnsi="宋体" w:cs="宋体"/>
          <w:color w:val="000000"/>
          <w:szCs w:val="21"/>
        </w:rPr>
      </w:pPr>
      <w:r>
        <w:rPr>
          <w:rFonts w:hint="eastAsia" w:ascii="宋体" w:hAnsi="宋体" w:cs="宋体"/>
          <w:szCs w:val="21"/>
        </w:rPr>
        <w:t>（六）在系统维护期内，供应商免费为</w:t>
      </w:r>
      <w:r>
        <w:rPr>
          <w:rFonts w:hint="eastAsia" w:ascii="宋体" w:hAnsi="宋体" w:cs="宋体"/>
          <w:bCs/>
          <w:szCs w:val="21"/>
        </w:rPr>
        <w:t>采购人</w:t>
      </w:r>
      <w:r>
        <w:rPr>
          <w:rFonts w:hint="eastAsia" w:ascii="宋体" w:hAnsi="宋体" w:cs="宋体"/>
          <w:szCs w:val="21"/>
        </w:rPr>
        <w:t>提供系统升级服务。</w:t>
      </w:r>
    </w:p>
    <w:p>
      <w:pPr>
        <w:spacing w:line="360" w:lineRule="auto"/>
        <w:rPr>
          <w:rFonts w:ascii="宋体" w:hAnsi="宋体" w:cs="宋体"/>
          <w:b/>
          <w:bCs/>
          <w:szCs w:val="21"/>
        </w:rPr>
      </w:pPr>
      <w:r>
        <w:rPr>
          <w:rFonts w:hint="eastAsia" w:ascii="宋体" w:hAnsi="宋体" w:cs="宋体"/>
          <w:b/>
          <w:bCs/>
          <w:szCs w:val="21"/>
        </w:rPr>
        <w:t>六、供应商要求</w:t>
      </w:r>
    </w:p>
    <w:p>
      <w:pPr>
        <w:numPr>
          <w:ilvl w:val="0"/>
          <w:numId w:val="2"/>
        </w:numPr>
        <w:spacing w:line="360" w:lineRule="auto"/>
        <w:ind w:firstLine="420" w:firstLineChars="200"/>
        <w:rPr>
          <w:rFonts w:ascii="宋体" w:hAnsi="宋体" w:cs="宋体"/>
          <w:color w:val="000000"/>
          <w:szCs w:val="21"/>
        </w:rPr>
      </w:pPr>
      <w:r>
        <w:rPr>
          <w:rFonts w:hint="eastAsia" w:ascii="宋体" w:hAnsi="宋体" w:cs="宋体"/>
          <w:color w:val="000000"/>
          <w:szCs w:val="21"/>
        </w:rPr>
        <w:t>供应商具备独立法人资格。</w:t>
      </w:r>
    </w:p>
    <w:p>
      <w:pPr>
        <w:numPr>
          <w:ilvl w:val="0"/>
          <w:numId w:val="2"/>
        </w:numPr>
        <w:spacing w:line="360" w:lineRule="auto"/>
        <w:ind w:firstLine="420" w:firstLineChars="200"/>
        <w:rPr>
          <w:rFonts w:ascii="宋体" w:hAnsi="宋体" w:cs="宋体"/>
          <w:color w:val="000000"/>
          <w:szCs w:val="21"/>
        </w:rPr>
      </w:pPr>
      <w:r>
        <w:rPr>
          <w:rFonts w:hint="eastAsia" w:ascii="宋体" w:hAnsi="宋体" w:cs="宋体"/>
          <w:color w:val="000000"/>
          <w:szCs w:val="21"/>
        </w:rPr>
        <w:t>供应商指</w:t>
      </w:r>
      <w:r>
        <w:rPr>
          <w:rFonts w:hint="eastAsia" w:ascii="宋体" w:hAnsi="宋体" w:cs="宋体"/>
          <w:szCs w:val="21"/>
        </w:rPr>
        <w:t>同时</w:t>
      </w:r>
      <w:r>
        <w:rPr>
          <w:rFonts w:hint="eastAsia" w:ascii="宋体" w:hAnsi="宋体" w:cs="宋体"/>
          <w:color w:val="000000"/>
          <w:szCs w:val="21"/>
        </w:rPr>
        <w:t>具备需求结构化管理相关业务咨询和系统开发能力的公司。</w:t>
      </w:r>
    </w:p>
    <w:p>
      <w:pPr>
        <w:numPr>
          <w:ilvl w:val="0"/>
          <w:numId w:val="2"/>
        </w:numPr>
        <w:spacing w:line="360" w:lineRule="auto"/>
        <w:ind w:firstLine="420" w:firstLineChars="200"/>
        <w:rPr>
          <w:rFonts w:ascii="宋体" w:hAnsi="宋体" w:cs="宋体"/>
          <w:color w:val="000000"/>
          <w:szCs w:val="21"/>
        </w:rPr>
      </w:pPr>
      <w:r>
        <w:rPr>
          <w:rFonts w:hint="eastAsia" w:ascii="宋体" w:hAnsi="宋体" w:cs="宋体"/>
          <w:color w:val="000000"/>
          <w:szCs w:val="21"/>
        </w:rPr>
        <w:t>供应商按以下要求提供的产品建设案例业绩：</w:t>
      </w:r>
    </w:p>
    <w:p>
      <w:pPr>
        <w:spacing w:line="360" w:lineRule="auto"/>
        <w:ind w:firstLine="840" w:firstLineChars="400"/>
        <w:rPr>
          <w:rFonts w:ascii="宋体" w:hAnsi="宋体" w:cs="宋体"/>
          <w:color w:val="000000"/>
          <w:szCs w:val="21"/>
          <w:highlight w:val="none"/>
        </w:rPr>
      </w:pPr>
      <w:r>
        <w:rPr>
          <w:rFonts w:hint="eastAsia" w:ascii="宋体" w:hAnsi="宋体" w:cs="宋体"/>
          <w:color w:val="000000"/>
          <w:szCs w:val="21"/>
          <w:highlight w:val="none"/>
        </w:rPr>
        <w:t>供应商至少有1个</w:t>
      </w:r>
      <w:r>
        <w:rPr>
          <w:rFonts w:hint="eastAsia" w:ascii="宋体" w:hAnsi="宋体" w:cs="宋体"/>
          <w:szCs w:val="21"/>
          <w:highlight w:val="none"/>
        </w:rPr>
        <w:t>与需求结构化管理相关的银行机构系统实施案例</w:t>
      </w:r>
      <w:r>
        <w:rPr>
          <w:rFonts w:hint="eastAsia" w:ascii="宋体" w:hAnsi="宋体" w:cs="宋体"/>
          <w:color w:val="000000"/>
          <w:szCs w:val="21"/>
          <w:highlight w:val="none"/>
        </w:rPr>
        <w:t>。</w:t>
      </w:r>
    </w:p>
    <w:p>
      <w:pPr>
        <w:numPr>
          <w:ilvl w:val="0"/>
          <w:numId w:val="2"/>
        </w:numPr>
        <w:spacing w:line="360" w:lineRule="auto"/>
        <w:ind w:firstLine="420" w:firstLineChars="200"/>
        <w:rPr>
          <w:rFonts w:cs="仿宋_GB2312" w:asciiTheme="minorEastAsia" w:hAnsiTheme="minorEastAsia" w:eastAsiaTheme="minorEastAsia"/>
          <w:b/>
          <w:bCs/>
          <w:szCs w:val="21"/>
        </w:rPr>
      </w:pPr>
      <w:r>
        <w:rPr>
          <w:rFonts w:hint="eastAsia" w:ascii="宋体" w:hAnsi="宋体" w:cs="宋体"/>
          <w:szCs w:val="21"/>
        </w:rPr>
        <w:t>上述相关证明材料在递交反馈《</w:t>
      </w:r>
      <w:r>
        <w:rPr>
          <w:rFonts w:hint="eastAsia" w:ascii="宋体" w:hAnsi="宋体" w:cs="宋体"/>
          <w:bCs/>
          <w:szCs w:val="21"/>
        </w:rPr>
        <w:t>东莞农村商业银行</w:t>
      </w:r>
      <w:r>
        <w:rPr>
          <w:rFonts w:hint="eastAsia" w:ascii="宋体" w:hAnsi="宋体" w:cs="宋体"/>
          <w:color w:val="000000"/>
          <w:szCs w:val="21"/>
        </w:rPr>
        <w:t>需求结构化管理系统</w:t>
      </w:r>
      <w:r>
        <w:rPr>
          <w:rFonts w:hint="eastAsia" w:ascii="宋体" w:hAnsi="宋体" w:cs="宋体"/>
          <w:bCs/>
          <w:szCs w:val="21"/>
        </w:rPr>
        <w:t>建设项目</w:t>
      </w:r>
      <w:r>
        <w:rPr>
          <w:rFonts w:hint="eastAsia" w:ascii="宋体" w:hAnsi="宋体" w:cs="宋体"/>
          <w:szCs w:val="21"/>
        </w:rPr>
        <w:t>市场调研记录表》时应提供上述相关证明材料的复印件加盖供应商公章的扫描件。</w:t>
      </w:r>
    </w:p>
    <w:p>
      <w:pPr>
        <w:tabs>
          <w:tab w:val="left" w:pos="0"/>
        </w:tabs>
        <w:spacing w:line="360" w:lineRule="auto"/>
        <w:rPr>
          <w:rFonts w:cs="仿宋_GB2312" w:asciiTheme="minorEastAsia" w:hAnsiTheme="minorEastAsia" w:eastAsiaTheme="minorEastAsia"/>
          <w:color w:val="000000"/>
          <w:szCs w:val="21"/>
          <w:highlight w:val="yellow"/>
        </w:rPr>
      </w:pPr>
    </w:p>
    <w:p>
      <w:pPr>
        <w:spacing w:line="360" w:lineRule="auto"/>
        <w:rPr>
          <w:rFonts w:ascii="宋体" w:hAnsi="宋体"/>
          <w:szCs w:val="21"/>
        </w:rPr>
      </w:pPr>
    </w:p>
    <w:sectPr>
      <w:footerReference r:id="rId3" w:type="default"/>
      <w:pgSz w:w="11906" w:h="16838"/>
      <w:pgMar w:top="1134" w:right="1077" w:bottom="1134"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801739"/>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550A4"/>
    <w:multiLevelType w:val="singleLevel"/>
    <w:tmpl w:val="8F4550A4"/>
    <w:lvl w:ilvl="0" w:tentative="0">
      <w:start w:val="1"/>
      <w:numFmt w:val="decimal"/>
      <w:lvlText w:val="%1."/>
      <w:lvlJc w:val="left"/>
      <w:pPr>
        <w:tabs>
          <w:tab w:val="left" w:pos="0"/>
        </w:tabs>
        <w:ind w:left="0" w:firstLine="0"/>
      </w:pPr>
      <w:rPr>
        <w:rFonts w:hint="default"/>
        <w:b w:val="0"/>
        <w:bCs w:val="0"/>
      </w:rPr>
    </w:lvl>
  </w:abstractNum>
  <w:abstractNum w:abstractNumId="1">
    <w:nsid w:val="1667227A"/>
    <w:multiLevelType w:val="multilevel"/>
    <w:tmpl w:val="166722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FiZjYxM2FmMjVmOTMxYTlmZDdkZThjNTllNGUwOWIifQ=="/>
  </w:docVars>
  <w:rsids>
    <w:rsidRoot w:val="009F2FB4"/>
    <w:rsid w:val="000024FF"/>
    <w:rsid w:val="0000504E"/>
    <w:rsid w:val="0003135E"/>
    <w:rsid w:val="00040006"/>
    <w:rsid w:val="00041082"/>
    <w:rsid w:val="00041D24"/>
    <w:rsid w:val="00056D94"/>
    <w:rsid w:val="000D3882"/>
    <w:rsid w:val="000E6541"/>
    <w:rsid w:val="000F43BE"/>
    <w:rsid w:val="000F4946"/>
    <w:rsid w:val="00115306"/>
    <w:rsid w:val="00115BC4"/>
    <w:rsid w:val="001169AB"/>
    <w:rsid w:val="00161346"/>
    <w:rsid w:val="0017057D"/>
    <w:rsid w:val="001C2DAC"/>
    <w:rsid w:val="001D4644"/>
    <w:rsid w:val="001E7CB5"/>
    <w:rsid w:val="001F71E9"/>
    <w:rsid w:val="002138B6"/>
    <w:rsid w:val="0023517E"/>
    <w:rsid w:val="0026628E"/>
    <w:rsid w:val="00277923"/>
    <w:rsid w:val="002A2737"/>
    <w:rsid w:val="002A6CB7"/>
    <w:rsid w:val="002B7344"/>
    <w:rsid w:val="002C13F5"/>
    <w:rsid w:val="002E69AE"/>
    <w:rsid w:val="003000DE"/>
    <w:rsid w:val="00311309"/>
    <w:rsid w:val="003161EC"/>
    <w:rsid w:val="003425BD"/>
    <w:rsid w:val="003543B2"/>
    <w:rsid w:val="00372F3B"/>
    <w:rsid w:val="003852AC"/>
    <w:rsid w:val="003900F9"/>
    <w:rsid w:val="003E1556"/>
    <w:rsid w:val="003E448B"/>
    <w:rsid w:val="003F05FE"/>
    <w:rsid w:val="00410C5D"/>
    <w:rsid w:val="0046633F"/>
    <w:rsid w:val="00466D03"/>
    <w:rsid w:val="004709FC"/>
    <w:rsid w:val="0047282E"/>
    <w:rsid w:val="00490F15"/>
    <w:rsid w:val="00494E69"/>
    <w:rsid w:val="004B3E2C"/>
    <w:rsid w:val="00517A0C"/>
    <w:rsid w:val="0052378B"/>
    <w:rsid w:val="00573510"/>
    <w:rsid w:val="0058010C"/>
    <w:rsid w:val="005A65E3"/>
    <w:rsid w:val="005E0F22"/>
    <w:rsid w:val="00612A42"/>
    <w:rsid w:val="00627DA9"/>
    <w:rsid w:val="006532EF"/>
    <w:rsid w:val="00657D6E"/>
    <w:rsid w:val="0067085A"/>
    <w:rsid w:val="0067708D"/>
    <w:rsid w:val="00683ADB"/>
    <w:rsid w:val="00684671"/>
    <w:rsid w:val="00696F01"/>
    <w:rsid w:val="00697DF5"/>
    <w:rsid w:val="006B1984"/>
    <w:rsid w:val="006B282D"/>
    <w:rsid w:val="006D157E"/>
    <w:rsid w:val="006D359E"/>
    <w:rsid w:val="006E028B"/>
    <w:rsid w:val="00706C04"/>
    <w:rsid w:val="00730C7D"/>
    <w:rsid w:val="00731441"/>
    <w:rsid w:val="00753943"/>
    <w:rsid w:val="00755FE0"/>
    <w:rsid w:val="00776695"/>
    <w:rsid w:val="007926E9"/>
    <w:rsid w:val="00793069"/>
    <w:rsid w:val="007C1E65"/>
    <w:rsid w:val="007C4B35"/>
    <w:rsid w:val="007D1572"/>
    <w:rsid w:val="007E11BB"/>
    <w:rsid w:val="007F76AA"/>
    <w:rsid w:val="00812356"/>
    <w:rsid w:val="008144CA"/>
    <w:rsid w:val="00816792"/>
    <w:rsid w:val="00833E0B"/>
    <w:rsid w:val="00834783"/>
    <w:rsid w:val="008467FC"/>
    <w:rsid w:val="00847FB8"/>
    <w:rsid w:val="00876154"/>
    <w:rsid w:val="0089247F"/>
    <w:rsid w:val="008A1781"/>
    <w:rsid w:val="008B39FB"/>
    <w:rsid w:val="008E739F"/>
    <w:rsid w:val="008F1838"/>
    <w:rsid w:val="008F5664"/>
    <w:rsid w:val="00901227"/>
    <w:rsid w:val="0090695B"/>
    <w:rsid w:val="00906BCA"/>
    <w:rsid w:val="00907069"/>
    <w:rsid w:val="009176C8"/>
    <w:rsid w:val="00923328"/>
    <w:rsid w:val="00932867"/>
    <w:rsid w:val="00932D28"/>
    <w:rsid w:val="0095191F"/>
    <w:rsid w:val="009545B1"/>
    <w:rsid w:val="00955B58"/>
    <w:rsid w:val="00967333"/>
    <w:rsid w:val="009A7FFB"/>
    <w:rsid w:val="009C139A"/>
    <w:rsid w:val="009C6873"/>
    <w:rsid w:val="009F21F0"/>
    <w:rsid w:val="009F2FB4"/>
    <w:rsid w:val="009F5DB2"/>
    <w:rsid w:val="00A17C63"/>
    <w:rsid w:val="00A51C7A"/>
    <w:rsid w:val="00A70E48"/>
    <w:rsid w:val="00A71A17"/>
    <w:rsid w:val="00A97715"/>
    <w:rsid w:val="00AD4D03"/>
    <w:rsid w:val="00AF0288"/>
    <w:rsid w:val="00AF5E80"/>
    <w:rsid w:val="00AF7968"/>
    <w:rsid w:val="00B104AB"/>
    <w:rsid w:val="00B12EE5"/>
    <w:rsid w:val="00B64971"/>
    <w:rsid w:val="00B71931"/>
    <w:rsid w:val="00B72106"/>
    <w:rsid w:val="00B7490F"/>
    <w:rsid w:val="00B75F90"/>
    <w:rsid w:val="00BB0D09"/>
    <w:rsid w:val="00BB432E"/>
    <w:rsid w:val="00BD79AF"/>
    <w:rsid w:val="00C046DA"/>
    <w:rsid w:val="00C117FA"/>
    <w:rsid w:val="00C130D9"/>
    <w:rsid w:val="00C15B9E"/>
    <w:rsid w:val="00C20CE3"/>
    <w:rsid w:val="00C344E8"/>
    <w:rsid w:val="00C479E2"/>
    <w:rsid w:val="00C707AE"/>
    <w:rsid w:val="00CD62A6"/>
    <w:rsid w:val="00CE4EE4"/>
    <w:rsid w:val="00CE7C21"/>
    <w:rsid w:val="00D40531"/>
    <w:rsid w:val="00D665B3"/>
    <w:rsid w:val="00D809E5"/>
    <w:rsid w:val="00DA0CD7"/>
    <w:rsid w:val="00DC4453"/>
    <w:rsid w:val="00DD11BD"/>
    <w:rsid w:val="00E03335"/>
    <w:rsid w:val="00E1150B"/>
    <w:rsid w:val="00E1229B"/>
    <w:rsid w:val="00E4283D"/>
    <w:rsid w:val="00E751AB"/>
    <w:rsid w:val="00EC6EBA"/>
    <w:rsid w:val="00F06757"/>
    <w:rsid w:val="00F20ED8"/>
    <w:rsid w:val="00F37B0A"/>
    <w:rsid w:val="00F71D27"/>
    <w:rsid w:val="00F74EB5"/>
    <w:rsid w:val="00F91672"/>
    <w:rsid w:val="00F91CD4"/>
    <w:rsid w:val="00FB341C"/>
    <w:rsid w:val="00FC108F"/>
    <w:rsid w:val="00FC204D"/>
    <w:rsid w:val="00FC3DC7"/>
    <w:rsid w:val="00FE62F0"/>
    <w:rsid w:val="00FE706B"/>
    <w:rsid w:val="00FF7088"/>
    <w:rsid w:val="087C10FB"/>
    <w:rsid w:val="15CF00F7"/>
    <w:rsid w:val="18B52D40"/>
    <w:rsid w:val="2187714A"/>
    <w:rsid w:val="256D2F8C"/>
    <w:rsid w:val="28DB05BE"/>
    <w:rsid w:val="31927D00"/>
    <w:rsid w:val="351649D8"/>
    <w:rsid w:val="51AE4089"/>
    <w:rsid w:val="526A739B"/>
    <w:rsid w:val="561C2113"/>
    <w:rsid w:val="59251902"/>
    <w:rsid w:val="5953657E"/>
    <w:rsid w:val="62D854E4"/>
    <w:rsid w:val="7E2E50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djustRightInd w:val="0"/>
      <w:spacing w:before="260" w:after="260" w:line="416" w:lineRule="atLeast"/>
      <w:ind w:left="180"/>
      <w:textAlignment w:val="baseline"/>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3">
    <w:name w:val="Normal Indent"/>
    <w:basedOn w:val="1"/>
    <w:link w:val="27"/>
    <w:unhideWhenUsed/>
    <w:qFormat/>
    <w:uiPriority w:val="0"/>
    <w:pPr>
      <w:ind w:firstLine="420" w:firstLineChars="200"/>
    </w:pPr>
    <w:rPr>
      <w:rFonts w:ascii="Calibri" w:hAnsi="Calibri"/>
    </w:rPr>
  </w:style>
  <w:style w:type="paragraph" w:styleId="4">
    <w:name w:val="toa heading"/>
    <w:basedOn w:val="1"/>
    <w:next w:val="1"/>
    <w:unhideWhenUsed/>
    <w:qFormat/>
    <w:uiPriority w:val="99"/>
    <w:pPr>
      <w:spacing w:before="120"/>
    </w:pPr>
    <w:rPr>
      <w:rFonts w:asciiTheme="majorHAnsi" w:hAnsiTheme="majorHAnsi" w:cstheme="majorBidi"/>
      <w:sz w:val="24"/>
    </w:rPr>
  </w:style>
  <w:style w:type="paragraph" w:styleId="5">
    <w:name w:val="annotation text"/>
    <w:basedOn w:val="1"/>
    <w:link w:val="24"/>
    <w:semiHidden/>
    <w:unhideWhenUsed/>
    <w:qFormat/>
    <w:uiPriority w:val="99"/>
    <w:pPr>
      <w:jc w:val="left"/>
    </w:pPr>
  </w:style>
  <w:style w:type="paragraph" w:styleId="6">
    <w:name w:val="Body Text"/>
    <w:basedOn w:val="1"/>
    <w:link w:val="23"/>
    <w:qFormat/>
    <w:uiPriority w:val="0"/>
    <w:pPr>
      <w:spacing w:after="120"/>
    </w:pPr>
  </w:style>
  <w:style w:type="paragraph" w:styleId="7">
    <w:name w:val="Balloon Text"/>
    <w:basedOn w:val="1"/>
    <w:link w:val="26"/>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5"/>
    <w:next w:val="5"/>
    <w:link w:val="25"/>
    <w:semiHidden/>
    <w:unhideWhenUsed/>
    <w:qFormat/>
    <w:uiPriority w:val="99"/>
    <w:rPr>
      <w:b/>
      <w:bCs/>
    </w:rPr>
  </w:style>
  <w:style w:type="table" w:styleId="13">
    <w:name w:val="Table Grid"/>
    <w:basedOn w:val="12"/>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unhideWhenUsed/>
    <w:qFormat/>
    <w:uiPriority w:val="99"/>
    <w:rPr>
      <w:color w:val="0000FF"/>
      <w:u w:val="single"/>
    </w:rPr>
  </w:style>
  <w:style w:type="character" w:styleId="16">
    <w:name w:val="annotation reference"/>
    <w:unhideWhenUsed/>
    <w:qFormat/>
    <w:uiPriority w:val="99"/>
    <w:rPr>
      <w:rFonts w:cs="Times New Roman"/>
      <w:sz w:val="21"/>
      <w:szCs w:val="21"/>
    </w:rPr>
  </w:style>
  <w:style w:type="paragraph" w:customStyle="1" w:styleId="17">
    <w:name w:val="Table Paragraph"/>
    <w:basedOn w:val="1"/>
    <w:qFormat/>
    <w:uiPriority w:val="1"/>
    <w:pPr>
      <w:autoSpaceDE w:val="0"/>
      <w:autoSpaceDN w:val="0"/>
      <w:adjustRightInd w:val="0"/>
      <w:jc w:val="left"/>
    </w:pPr>
    <w:rPr>
      <w:rFonts w:ascii="宋体" w:cs="宋体"/>
      <w:kern w:val="0"/>
      <w:sz w:val="24"/>
    </w:rPr>
  </w:style>
  <w:style w:type="paragraph" w:customStyle="1" w:styleId="18">
    <w:name w:val="样式4"/>
    <w:basedOn w:val="1"/>
    <w:qFormat/>
    <w:uiPriority w:val="0"/>
    <w:pPr>
      <w:tabs>
        <w:tab w:val="left" w:pos="2328"/>
      </w:tabs>
      <w:ind w:left="2328" w:hanging="708"/>
    </w:pPr>
  </w:style>
  <w:style w:type="character" w:customStyle="1" w:styleId="19">
    <w:name w:val="页眉 字符"/>
    <w:link w:val="9"/>
    <w:qFormat/>
    <w:uiPriority w:val="99"/>
    <w:rPr>
      <w:rFonts w:ascii="Times New Roman" w:hAnsi="Times New Roman" w:eastAsia="宋体" w:cs="Times New Roman"/>
      <w:sz w:val="18"/>
      <w:szCs w:val="18"/>
    </w:rPr>
  </w:style>
  <w:style w:type="character" w:customStyle="1" w:styleId="20">
    <w:name w:val="页脚 字符"/>
    <w:link w:val="8"/>
    <w:qFormat/>
    <w:uiPriority w:val="99"/>
    <w:rPr>
      <w:rFonts w:ascii="Times New Roman" w:hAnsi="Times New Roman" w:eastAsia="宋体" w:cs="Times New Roman"/>
      <w:sz w:val="18"/>
      <w:szCs w:val="18"/>
    </w:rPr>
  </w:style>
  <w:style w:type="character" w:customStyle="1" w:styleId="21">
    <w:name w:val="font11"/>
    <w:qFormat/>
    <w:uiPriority w:val="0"/>
    <w:rPr>
      <w:rFonts w:hint="default" w:ascii="Times New Roman" w:hAnsi="Times New Roman" w:cs="Times New Roman"/>
      <w:color w:val="000000"/>
      <w:sz w:val="24"/>
      <w:szCs w:val="24"/>
      <w:u w:val="none"/>
    </w:rPr>
  </w:style>
  <w:style w:type="character" w:customStyle="1" w:styleId="22">
    <w:name w:val="font21"/>
    <w:qFormat/>
    <w:uiPriority w:val="0"/>
    <w:rPr>
      <w:rFonts w:ascii="Arial" w:hAnsi="Arial" w:cs="Arial"/>
      <w:color w:val="000000"/>
      <w:sz w:val="21"/>
      <w:szCs w:val="21"/>
      <w:u w:val="none"/>
    </w:rPr>
  </w:style>
  <w:style w:type="character" w:customStyle="1" w:styleId="23">
    <w:name w:val="正文文本 字符"/>
    <w:basedOn w:val="14"/>
    <w:link w:val="6"/>
    <w:qFormat/>
    <w:uiPriority w:val="0"/>
    <w:rPr>
      <w:rFonts w:ascii="Times New Roman" w:hAnsi="Times New Roman" w:eastAsia="宋体"/>
      <w:kern w:val="2"/>
      <w:sz w:val="21"/>
      <w:szCs w:val="24"/>
    </w:rPr>
  </w:style>
  <w:style w:type="character" w:customStyle="1" w:styleId="24">
    <w:name w:val="批注文字 字符"/>
    <w:basedOn w:val="14"/>
    <w:link w:val="5"/>
    <w:semiHidden/>
    <w:qFormat/>
    <w:uiPriority w:val="99"/>
    <w:rPr>
      <w:rFonts w:ascii="Times New Roman" w:hAnsi="Times New Roman" w:eastAsia="宋体"/>
      <w:kern w:val="2"/>
      <w:sz w:val="21"/>
      <w:szCs w:val="24"/>
    </w:rPr>
  </w:style>
  <w:style w:type="character" w:customStyle="1" w:styleId="25">
    <w:name w:val="批注主题 字符"/>
    <w:basedOn w:val="24"/>
    <w:link w:val="11"/>
    <w:semiHidden/>
    <w:qFormat/>
    <w:uiPriority w:val="99"/>
    <w:rPr>
      <w:rFonts w:ascii="Times New Roman" w:hAnsi="Times New Roman" w:eastAsia="宋体"/>
      <w:b/>
      <w:bCs/>
      <w:kern w:val="2"/>
      <w:sz w:val="21"/>
      <w:szCs w:val="24"/>
    </w:rPr>
  </w:style>
  <w:style w:type="character" w:customStyle="1" w:styleId="26">
    <w:name w:val="批注框文本 字符"/>
    <w:basedOn w:val="14"/>
    <w:link w:val="7"/>
    <w:semiHidden/>
    <w:qFormat/>
    <w:uiPriority w:val="99"/>
    <w:rPr>
      <w:rFonts w:ascii="Times New Roman" w:hAnsi="Times New Roman" w:eastAsia="宋体"/>
      <w:kern w:val="2"/>
      <w:sz w:val="18"/>
      <w:szCs w:val="18"/>
    </w:rPr>
  </w:style>
  <w:style w:type="character" w:customStyle="1" w:styleId="27">
    <w:name w:val="正文缩进 字符"/>
    <w:link w:val="3"/>
    <w:qFormat/>
    <w:uiPriority w:val="0"/>
    <w:rPr>
      <w:rFonts w:ascii="Calibri" w:hAnsi="Calibri" w:eastAsia="宋体"/>
      <w:kern w:val="2"/>
      <w:sz w:val="21"/>
      <w:szCs w:val="24"/>
    </w:rPr>
  </w:style>
  <w:style w:type="paragraph" w:customStyle="1" w:styleId="28">
    <w:name w:val="正文cl"/>
    <w:basedOn w:val="1"/>
    <w:qFormat/>
    <w:uiPriority w:val="0"/>
    <w:pPr>
      <w:snapToGrid w:val="0"/>
      <w:spacing w:line="360" w:lineRule="auto"/>
      <w:ind w:firstLine="600" w:firstLineChars="200"/>
    </w:pPr>
    <w:rPr>
      <w:rFonts w:ascii="Tahoma" w:hAnsi="Tahoma" w:eastAsia="仿宋_GB2312" w:cs="宋体"/>
      <w:sz w:val="30"/>
      <w:szCs w:val="20"/>
    </w:rPr>
  </w:style>
  <w:style w:type="paragraph" w:customStyle="1" w:styleId="29">
    <w:name w:val="表格字体"/>
    <w:basedOn w:val="1"/>
    <w:qFormat/>
    <w:uiPriority w:val="0"/>
    <w:pPr>
      <w:jc w:val="left"/>
    </w:pPr>
    <w:rPr>
      <w:sz w:val="18"/>
    </w:rPr>
  </w:style>
  <w:style w:type="paragraph" w:styleId="3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4803</Words>
  <Characters>4887</Characters>
  <Lines>37</Lines>
  <Paragraphs>10</Paragraphs>
  <TotalTime>8</TotalTime>
  <ScaleCrop>false</ScaleCrop>
  <LinksUpToDate>false</LinksUpToDate>
  <CharactersWithSpaces>4891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2023-04-27T09:53:00Z</dcterms:created>
  <dc:creator>User</dc:creator>
  <cp:lastModifiedBy>12137</cp:lastModifiedBy>
  <dcterms:modified xsi:type="dcterms:W3CDTF">2023-06-07T07:57:54Z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A894C6C80B7744BAA78799BB5B838276</vt:lpwstr>
  </property>
</Properties>
</file>