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highlight w:val="none"/>
        </w:rPr>
      </w:pPr>
      <w:r>
        <w:rPr>
          <w:rFonts w:hint="eastAsia" w:ascii="宋体" w:hAnsi="宋体"/>
          <w:b/>
          <w:sz w:val="32"/>
          <w:szCs w:val="32"/>
        </w:rPr>
        <w:t>东莞农村商业银行应用资源池建</w:t>
      </w:r>
      <w:r>
        <w:rPr>
          <w:rFonts w:hint="eastAsia" w:ascii="宋体" w:hAnsi="宋体"/>
          <w:b/>
          <w:sz w:val="32"/>
          <w:szCs w:val="32"/>
          <w:highlight w:val="none"/>
        </w:rPr>
        <w:t>设项目（虚拟化软件）</w:t>
      </w:r>
    </w:p>
    <w:p>
      <w:pPr>
        <w:spacing w:line="360" w:lineRule="auto"/>
        <w:jc w:val="center"/>
        <w:rPr>
          <w:rFonts w:ascii="宋体" w:hAnsi="宋体"/>
          <w:b/>
          <w:sz w:val="32"/>
          <w:szCs w:val="32"/>
          <w:highlight w:val="none"/>
        </w:rPr>
      </w:pPr>
      <w:r>
        <w:rPr>
          <w:rFonts w:hint="eastAsia" w:ascii="宋体" w:hAnsi="宋体"/>
          <w:b/>
          <w:sz w:val="32"/>
          <w:szCs w:val="32"/>
          <w:highlight w:val="none"/>
        </w:rPr>
        <w:t>市场调研项目需求</w:t>
      </w:r>
    </w:p>
    <w:p>
      <w:pPr>
        <w:spacing w:line="360" w:lineRule="auto"/>
        <w:rPr>
          <w:rFonts w:ascii="宋体" w:hAnsi="宋体"/>
          <w:b/>
          <w:szCs w:val="21"/>
          <w:highlight w:val="none"/>
        </w:rPr>
      </w:pPr>
    </w:p>
    <w:p>
      <w:pPr>
        <w:spacing w:line="360" w:lineRule="auto"/>
        <w:rPr>
          <w:rFonts w:ascii="宋体" w:hAnsi="宋体"/>
          <w:b/>
          <w:szCs w:val="21"/>
          <w:highlight w:val="none"/>
        </w:rPr>
      </w:pPr>
      <w:r>
        <w:rPr>
          <w:rFonts w:hint="eastAsia" w:ascii="宋体" w:hAnsi="宋体"/>
          <w:b/>
          <w:szCs w:val="21"/>
          <w:highlight w:val="none"/>
        </w:rPr>
        <w:t>一、项目信息</w:t>
      </w:r>
    </w:p>
    <w:p>
      <w:pPr>
        <w:widowControl/>
        <w:spacing w:line="360" w:lineRule="auto"/>
        <w:ind w:firstLine="420" w:firstLineChars="200"/>
        <w:rPr>
          <w:rFonts w:cs="仿宋_GB2312" w:asciiTheme="minorEastAsia" w:hAnsiTheme="minorEastAsia" w:eastAsiaTheme="minorEastAsia"/>
          <w:bCs/>
          <w:szCs w:val="21"/>
          <w:highlight w:val="none"/>
        </w:rPr>
      </w:pPr>
      <w:r>
        <w:rPr>
          <w:rFonts w:cs="仿宋_GB2312" w:asciiTheme="minorEastAsia" w:hAnsiTheme="minorEastAsia" w:eastAsiaTheme="minorEastAsia"/>
          <w:bCs/>
          <w:szCs w:val="21"/>
          <w:highlight w:val="none"/>
        </w:rPr>
        <w:t>项目名称：</w:t>
      </w:r>
      <w:bookmarkStart w:id="1" w:name="_GoBack"/>
      <w:r>
        <w:rPr>
          <w:rFonts w:hint="eastAsia" w:cs="仿宋_GB2312" w:asciiTheme="minorEastAsia" w:hAnsiTheme="minorEastAsia" w:eastAsiaTheme="minorEastAsia"/>
          <w:bCs/>
          <w:szCs w:val="21"/>
          <w:highlight w:val="none"/>
        </w:rPr>
        <w:t>东莞农村商业银行应用资源池建设项目（虚拟化软件）</w:t>
      </w:r>
      <w:bookmarkEnd w:id="1"/>
    </w:p>
    <w:p>
      <w:pPr>
        <w:widowControl/>
        <w:spacing w:line="360" w:lineRule="auto"/>
        <w:ind w:firstLine="420" w:firstLineChars="200"/>
        <w:rPr>
          <w:rStyle w:val="16"/>
          <w:highlight w:val="none"/>
        </w:rPr>
      </w:pPr>
      <w:r>
        <w:rPr>
          <w:rFonts w:hint="eastAsia" w:cs="仿宋_GB2312" w:asciiTheme="minorEastAsia" w:hAnsiTheme="minorEastAsia" w:eastAsiaTheme="minorEastAsia"/>
          <w:bCs/>
          <w:szCs w:val="21"/>
          <w:highlight w:val="none"/>
        </w:rPr>
        <w:t>采购人：东莞农村商业银行股份有限公司</w:t>
      </w:r>
    </w:p>
    <w:p>
      <w:pPr>
        <w:pStyle w:val="2"/>
        <w:rPr>
          <w:highlight w:val="none"/>
        </w:rPr>
      </w:pPr>
      <w:r>
        <w:rPr>
          <w:rStyle w:val="16"/>
          <w:rFonts w:hint="eastAsia"/>
          <w:highlight w:val="none"/>
        </w:rPr>
        <w:t>项目预算：无</w:t>
      </w:r>
    </w:p>
    <w:p>
      <w:pPr>
        <w:widowControl/>
        <w:spacing w:line="360" w:lineRule="auto"/>
        <w:ind w:firstLine="420" w:firstLineChars="200"/>
        <w:rPr>
          <w:rFonts w:cs="仿宋_GB2312" w:asciiTheme="minorEastAsia" w:hAnsiTheme="minorEastAsia" w:eastAsiaTheme="minorEastAsia"/>
          <w:bCs/>
          <w:szCs w:val="21"/>
          <w:highlight w:val="none"/>
        </w:rPr>
      </w:pPr>
      <w:r>
        <w:rPr>
          <w:rFonts w:hint="eastAsia" w:cs="仿宋_GB2312" w:asciiTheme="minorEastAsia" w:hAnsiTheme="minorEastAsia" w:eastAsiaTheme="minorEastAsia"/>
          <w:bCs/>
          <w:szCs w:val="21"/>
          <w:highlight w:val="none"/>
        </w:rPr>
        <w:t>维保服务期：本次项目</w:t>
      </w:r>
      <w:r>
        <w:rPr>
          <w:rStyle w:val="16"/>
          <w:rFonts w:hint="eastAsia"/>
          <w:highlight w:val="none"/>
        </w:rPr>
        <w:t>带</w:t>
      </w:r>
      <w:r>
        <w:rPr>
          <w:rFonts w:hint="eastAsia" w:cs="仿宋_GB2312" w:asciiTheme="minorEastAsia" w:hAnsiTheme="minorEastAsia" w:eastAsiaTheme="minorEastAsia"/>
          <w:bCs/>
          <w:szCs w:val="21"/>
          <w:highlight w:val="none"/>
        </w:rPr>
        <w:t>维保服务期五年（60个月），以原厂服务承诺函为准。</w:t>
      </w:r>
    </w:p>
    <w:p>
      <w:pPr>
        <w:pStyle w:val="2"/>
        <w:rPr>
          <w:highlight w:val="none"/>
        </w:rPr>
      </w:pPr>
    </w:p>
    <w:p>
      <w:pPr>
        <w:spacing w:line="360" w:lineRule="auto"/>
        <w:rPr>
          <w:rFonts w:ascii="宋体" w:hAnsi="宋体"/>
          <w:b/>
          <w:szCs w:val="21"/>
          <w:highlight w:val="none"/>
        </w:rPr>
      </w:pPr>
      <w:r>
        <w:rPr>
          <w:rFonts w:hint="eastAsia" w:ascii="宋体" w:hAnsi="宋体"/>
          <w:b/>
          <w:szCs w:val="21"/>
          <w:highlight w:val="none"/>
        </w:rPr>
        <w:t>二</w:t>
      </w:r>
      <w:r>
        <w:rPr>
          <w:rFonts w:ascii="宋体" w:hAnsi="宋体"/>
          <w:b/>
          <w:szCs w:val="21"/>
          <w:highlight w:val="none"/>
        </w:rPr>
        <w:t>、</w:t>
      </w:r>
      <w:r>
        <w:rPr>
          <w:rFonts w:hint="eastAsia" w:ascii="宋体" w:hAnsi="宋体"/>
          <w:b/>
          <w:szCs w:val="21"/>
          <w:highlight w:val="none"/>
        </w:rPr>
        <w:t>项目背景</w:t>
      </w:r>
    </w:p>
    <w:p>
      <w:pPr>
        <w:spacing w:line="360" w:lineRule="auto"/>
        <w:ind w:firstLine="630" w:firstLineChars="300"/>
        <w:rPr>
          <w:rFonts w:ascii="宋体" w:hAnsi="宋体" w:cs="宋体"/>
          <w:szCs w:val="21"/>
        </w:rPr>
      </w:pPr>
      <w:r>
        <w:rPr>
          <w:rFonts w:hint="eastAsia" w:ascii="宋体" w:hAnsi="宋体" w:cs="宋体"/>
          <w:szCs w:val="21"/>
          <w:highlight w:val="none"/>
        </w:rPr>
        <w:t>为了建设计算虚拟化平台，现开展数据中心应用资源池建设项目</w:t>
      </w:r>
      <w:r>
        <w:rPr>
          <w:rFonts w:hint="eastAsia" w:ascii="宋体" w:hAnsi="宋体"/>
          <w:szCs w:val="21"/>
          <w:highlight w:val="none"/>
        </w:rPr>
        <w:t>市场调研，欢迎愿意参加本项目市场调研的潜在供应商</w:t>
      </w:r>
      <w:r>
        <w:rPr>
          <w:rFonts w:hint="eastAsia" w:ascii="宋体" w:hAnsi="宋体"/>
          <w:b/>
          <w:szCs w:val="21"/>
          <w:highlight w:val="none"/>
        </w:rPr>
        <w:t>（本次项目需求的供应商指软件制造商</w:t>
      </w:r>
      <w:r>
        <w:rPr>
          <w:rFonts w:hint="eastAsia" w:ascii="宋体" w:hAnsi="宋体"/>
          <w:b/>
          <w:szCs w:val="21"/>
        </w:rPr>
        <w:t>）</w:t>
      </w:r>
      <w:r>
        <w:rPr>
          <w:rFonts w:hint="eastAsia" w:ascii="宋体" w:hAnsi="宋体"/>
          <w:szCs w:val="21"/>
        </w:rPr>
        <w:t>，提供市场调研资料</w:t>
      </w:r>
      <w:r>
        <w:rPr>
          <w:rFonts w:hint="eastAsia" w:ascii="宋体" w:hAnsi="宋体" w:cs="宋体"/>
          <w:szCs w:val="21"/>
        </w:rPr>
        <w:t>。</w:t>
      </w:r>
    </w:p>
    <w:p>
      <w:pPr>
        <w:spacing w:line="360" w:lineRule="auto"/>
        <w:rPr>
          <w:rFonts w:ascii="宋体" w:hAnsi="宋体"/>
          <w:b/>
          <w:bCs/>
          <w:szCs w:val="21"/>
        </w:rPr>
      </w:pPr>
      <w:r>
        <w:rPr>
          <w:rFonts w:hint="eastAsia" w:ascii="宋体" w:hAnsi="宋体"/>
          <w:b/>
          <w:szCs w:val="21"/>
        </w:rPr>
        <w:t>三</w:t>
      </w:r>
      <w:r>
        <w:rPr>
          <w:rFonts w:ascii="宋体" w:hAnsi="宋体"/>
          <w:b/>
          <w:szCs w:val="21"/>
        </w:rPr>
        <w:t>、</w:t>
      </w:r>
      <w:r>
        <w:rPr>
          <w:rFonts w:hint="eastAsia" w:ascii="宋体" w:hAnsi="宋体"/>
          <w:b/>
          <w:bCs/>
          <w:szCs w:val="21"/>
        </w:rPr>
        <w:t>咨询内容</w:t>
      </w:r>
    </w:p>
    <w:p>
      <w:pPr>
        <w:widowControl/>
        <w:spacing w:line="580" w:lineRule="exact"/>
        <w:ind w:firstLine="420" w:firstLineChars="200"/>
        <w:rPr>
          <w:rFonts w:cs="仿宋_GB2312" w:asciiTheme="minorEastAsia" w:hAnsiTheme="minorEastAsia" w:eastAsiaTheme="minorEastAsia"/>
          <w:bCs/>
          <w:szCs w:val="21"/>
        </w:rPr>
      </w:pPr>
      <w:r>
        <w:rPr>
          <w:rFonts w:hint="eastAsia" w:ascii="宋体" w:hAnsi="宋体" w:cs="宋体"/>
          <w:szCs w:val="21"/>
        </w:rPr>
        <w:t>本次项目是应用资源池建设项目相关软件，用于服务器虚拟机部署，兼容各类常用服务器、可接入不同架构存储、虚拟机基本操作、虚拟机迁移、虚拟机资源动态调整、虚拟机支持特性、numa设置、HA高可用性、虚拟机备份、资源监控、QOS功能、容器管理、跨平台迁移、系统对接、二次开发等功能。</w:t>
      </w:r>
    </w:p>
    <w:p>
      <w:pPr>
        <w:spacing w:line="580" w:lineRule="exact"/>
        <w:ind w:firstLine="210" w:firstLineChars="100"/>
        <w:rPr>
          <w:rFonts w:ascii="宋体" w:hAnsi="宋体" w:cs="宋体"/>
          <w:szCs w:val="21"/>
          <w:highlight w:val="yellow"/>
        </w:rPr>
      </w:pPr>
      <w:r>
        <w:rPr>
          <w:rFonts w:hint="eastAsia" w:cs="楷体_GB2312" w:asciiTheme="minorEastAsia" w:hAnsiTheme="minorEastAsia" w:eastAsiaTheme="minorEastAsia"/>
          <w:szCs w:val="21"/>
        </w:rPr>
        <w:t>（一）应用资源池建设项目产品配置</w:t>
      </w:r>
      <w:r>
        <w:rPr>
          <w:rFonts w:hint="eastAsia" w:cs="仿宋_GB2312" w:asciiTheme="minorEastAsia" w:hAnsiTheme="minorEastAsia" w:eastAsiaTheme="minorEastAsia"/>
          <w:szCs w:val="21"/>
        </w:rPr>
        <w:t>需求如下：</w:t>
      </w:r>
    </w:p>
    <w:tbl>
      <w:tblPr>
        <w:tblStyle w:val="12"/>
        <w:tblW w:w="9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900"/>
        <w:gridCol w:w="1505"/>
        <w:gridCol w:w="4322"/>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Align w:val="center"/>
          </w:tcPr>
          <w:p>
            <w:pPr>
              <w:spacing w:line="300" w:lineRule="exact"/>
              <w:jc w:val="center"/>
              <w:rPr>
                <w:rFonts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序号</w:t>
            </w:r>
          </w:p>
        </w:tc>
        <w:tc>
          <w:tcPr>
            <w:tcW w:w="1900" w:type="dxa"/>
            <w:vAlign w:val="center"/>
          </w:tcPr>
          <w:p>
            <w:pPr>
              <w:spacing w:line="300" w:lineRule="exact"/>
              <w:jc w:val="center"/>
              <w:rPr>
                <w:rFonts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产品名称</w:t>
            </w:r>
          </w:p>
        </w:tc>
        <w:tc>
          <w:tcPr>
            <w:tcW w:w="1505" w:type="dxa"/>
            <w:vAlign w:val="center"/>
          </w:tcPr>
          <w:p>
            <w:pPr>
              <w:spacing w:line="300" w:lineRule="exact"/>
              <w:jc w:val="center"/>
              <w:rPr>
                <w:rFonts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品牌</w:t>
            </w:r>
          </w:p>
        </w:tc>
        <w:tc>
          <w:tcPr>
            <w:tcW w:w="4322" w:type="dxa"/>
            <w:vAlign w:val="center"/>
          </w:tcPr>
          <w:p>
            <w:pPr>
              <w:spacing w:line="300" w:lineRule="exact"/>
              <w:jc w:val="center"/>
              <w:rPr>
                <w:rFonts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产品型号（配置）</w:t>
            </w:r>
          </w:p>
        </w:tc>
        <w:tc>
          <w:tcPr>
            <w:tcW w:w="1317" w:type="dxa"/>
            <w:vAlign w:val="center"/>
          </w:tcPr>
          <w:p>
            <w:pPr>
              <w:spacing w:line="300" w:lineRule="exact"/>
              <w:jc w:val="center"/>
              <w:rPr>
                <w:rFonts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Align w:val="center"/>
          </w:tcPr>
          <w:p>
            <w:pPr>
              <w:spacing w:line="3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1</w:t>
            </w:r>
          </w:p>
        </w:tc>
        <w:tc>
          <w:tcPr>
            <w:tcW w:w="1900" w:type="dxa"/>
            <w:vAlign w:val="center"/>
          </w:tcPr>
          <w:p>
            <w:pPr>
              <w:spacing w:line="3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虚拟化软件</w:t>
            </w:r>
          </w:p>
        </w:tc>
        <w:tc>
          <w:tcPr>
            <w:tcW w:w="1505" w:type="dxa"/>
            <w:vAlign w:val="center"/>
          </w:tcPr>
          <w:p>
            <w:pPr>
              <w:spacing w:line="3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不限</w:t>
            </w:r>
          </w:p>
        </w:tc>
        <w:tc>
          <w:tcPr>
            <w:tcW w:w="4322" w:type="dxa"/>
          </w:tcPr>
          <w:p>
            <w:pPr>
              <w:pStyle w:val="2"/>
              <w:spacing w:line="300" w:lineRule="exact"/>
              <w:ind w:firstLine="0" w:firstLineChars="0"/>
              <w:rPr>
                <w:rFonts w:asciiTheme="minorEastAsia" w:hAnsiTheme="minorEastAsia" w:eastAsiaTheme="minorEastAsia"/>
                <w:szCs w:val="21"/>
              </w:rPr>
            </w:pPr>
            <w:r>
              <w:rPr>
                <w:rFonts w:hint="eastAsia" w:cs="仿宋_GB2312" w:asciiTheme="minorEastAsia" w:hAnsiTheme="minorEastAsia" w:eastAsiaTheme="minorEastAsia"/>
                <w:szCs w:val="21"/>
              </w:rPr>
              <w:t>按服务器物理cpu颗数计算，含安装部署服务，五年原厂7*24*4小时维保服务，研发环境不限制许可使用。</w:t>
            </w:r>
          </w:p>
        </w:tc>
        <w:tc>
          <w:tcPr>
            <w:tcW w:w="1317" w:type="dxa"/>
            <w:vAlign w:val="center"/>
          </w:tcPr>
          <w:p>
            <w:pPr>
              <w:spacing w:line="3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约200个</w:t>
            </w:r>
          </w:p>
        </w:tc>
      </w:tr>
    </w:tbl>
    <w:p>
      <w:pPr>
        <w:spacing w:line="580" w:lineRule="exact"/>
        <w:ind w:firstLine="210" w:firstLineChars="100"/>
        <w:rPr>
          <w:rFonts w:cs="楷体_GB2312" w:asciiTheme="minorEastAsia" w:hAnsiTheme="minorEastAsia" w:eastAsiaTheme="minorEastAsia"/>
          <w:szCs w:val="21"/>
        </w:rPr>
      </w:pPr>
      <w:r>
        <w:rPr>
          <w:rFonts w:hint="eastAsia" w:cs="楷体_GB2312" w:asciiTheme="minorEastAsia" w:hAnsiTheme="minorEastAsia" w:eastAsiaTheme="minorEastAsia"/>
          <w:szCs w:val="21"/>
        </w:rPr>
        <w:t>（二）应用资源池建设项目功能需求如下：</w:t>
      </w:r>
    </w:p>
    <w:tbl>
      <w:tblPr>
        <w:tblStyle w:val="12"/>
        <w:tblW w:w="9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497"/>
        <w:gridCol w:w="6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5" w:type="dxa"/>
            <w:shd w:val="clear" w:color="000000" w:fill="FFFFFF"/>
            <w:vAlign w:val="center"/>
          </w:tcPr>
          <w:p>
            <w:pPr>
              <w:widowControl/>
              <w:spacing w:line="300" w:lineRule="exact"/>
              <w:jc w:val="center"/>
              <w:rPr>
                <w:rFonts w:cs="仿宋_GB2312" w:asciiTheme="minorEastAsia" w:hAnsiTheme="minorEastAsia" w:eastAsiaTheme="minorEastAsia"/>
                <w:b/>
                <w:bCs/>
                <w:kern w:val="0"/>
                <w:szCs w:val="21"/>
              </w:rPr>
            </w:pPr>
            <w:r>
              <w:rPr>
                <w:rFonts w:hint="eastAsia" w:cs="仿宋_GB2312" w:asciiTheme="minorEastAsia" w:hAnsiTheme="minorEastAsia" w:eastAsiaTheme="minorEastAsia"/>
                <w:b/>
                <w:bCs/>
                <w:kern w:val="0"/>
                <w:szCs w:val="21"/>
              </w:rPr>
              <w:t>类型</w:t>
            </w:r>
          </w:p>
        </w:tc>
        <w:tc>
          <w:tcPr>
            <w:tcW w:w="1497" w:type="dxa"/>
            <w:shd w:val="clear" w:color="000000" w:fill="FFFFFF"/>
            <w:vAlign w:val="center"/>
          </w:tcPr>
          <w:p>
            <w:pPr>
              <w:widowControl/>
              <w:spacing w:line="300" w:lineRule="exact"/>
              <w:jc w:val="center"/>
              <w:rPr>
                <w:rFonts w:cs="仿宋_GB2312" w:asciiTheme="minorEastAsia" w:hAnsiTheme="minorEastAsia" w:eastAsiaTheme="minorEastAsia"/>
                <w:b/>
                <w:bCs/>
                <w:kern w:val="0"/>
                <w:szCs w:val="21"/>
              </w:rPr>
            </w:pPr>
            <w:r>
              <w:rPr>
                <w:rFonts w:hint="eastAsia" w:cs="仿宋_GB2312" w:asciiTheme="minorEastAsia" w:hAnsiTheme="minorEastAsia" w:eastAsiaTheme="minorEastAsia"/>
                <w:b/>
                <w:bCs/>
                <w:kern w:val="0"/>
                <w:szCs w:val="21"/>
              </w:rPr>
              <w:t>功能</w:t>
            </w:r>
          </w:p>
        </w:tc>
        <w:tc>
          <w:tcPr>
            <w:tcW w:w="6752" w:type="dxa"/>
            <w:shd w:val="clear" w:color="000000" w:fill="FFFFFF"/>
            <w:vAlign w:val="center"/>
          </w:tcPr>
          <w:p>
            <w:pPr>
              <w:widowControl/>
              <w:spacing w:line="300" w:lineRule="exact"/>
              <w:jc w:val="center"/>
              <w:rPr>
                <w:rFonts w:cs="仿宋_GB2312" w:asciiTheme="minorEastAsia" w:hAnsiTheme="minorEastAsia" w:eastAsiaTheme="minorEastAsia"/>
                <w:b/>
                <w:bCs/>
                <w:kern w:val="0"/>
                <w:szCs w:val="21"/>
              </w:rPr>
            </w:pPr>
            <w:r>
              <w:rPr>
                <w:rFonts w:hint="eastAsia" w:cs="仿宋_GB2312" w:asciiTheme="minorEastAsia" w:hAnsiTheme="minorEastAsia" w:eastAsiaTheme="minorEastAsia"/>
                <w:b/>
                <w:bCs/>
                <w:kern w:val="0"/>
                <w:szCs w:val="21"/>
              </w:rPr>
              <w:t>需求说明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restart"/>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szCs w:val="21"/>
              </w:rPr>
              <w:t>虚拟化软件功能</w:t>
            </w: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兼容各类常用服务器</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 w:asciiTheme="minorEastAsia" w:hAnsiTheme="minorEastAsia" w:eastAsiaTheme="minorEastAsia"/>
                <w:bCs/>
                <w:szCs w:val="21"/>
              </w:rPr>
              <w:t>可接管intel x86、海光x86、鲲鹏arm架构服务器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可接入不同架构存储</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可接管FC及iSCSI SAN存储，NFS存储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bookmarkStart w:id="0" w:name="RANGE!B4"/>
            <w:r>
              <w:rPr>
                <w:rFonts w:hint="eastAsia" w:cs="仿宋_GB2312" w:asciiTheme="minorEastAsia" w:hAnsiTheme="minorEastAsia" w:eastAsiaTheme="minorEastAsia"/>
                <w:kern w:val="0"/>
                <w:szCs w:val="21"/>
              </w:rPr>
              <w:t>虚拟机基本操作</w:t>
            </w:r>
            <w:bookmarkEnd w:id="0"/>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虚拟化平台支持虚拟机创建、启动、正常关机、正常重启、强制关机、强制重启、快照、克隆、导入及导出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虚拟机迁移</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支持虚拟机跨计算节点迁移、跨存储节点迁移、跨集群迁移（计算及存储资源一起迁移）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虚拟机资源动态调整</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支持虚拟机热添加CPU及内存、在线添加网卡、动态调整磁盘大小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虚拟机支持特性</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支持大页内存、直通USB设备、磁盘精简置备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numa设置</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支持CPU及内存的numa绑定设置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HA高可用性</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物理机宕机后，虚拟机可HA到其他物理机上。虚拟化平台支持网络链路及存储链路双活高可用性。管理节点支持双活部署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虚拟机备份</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平台支持虚拟机备份及恢复功能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资源监控</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支持查看物理机及虚拟机CPU、内存、网络IO、磁盘IO等监控，可追溯历史监控数据、支持查看虚拟磁盘IOPS、时延等监控指标，可形成统一报表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QOS功能</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支持虚拟机CPU资源优先级设置、支持虚拟机CPU资源预留设置、支持虚拟机网络流量优先级设置及限制流量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容器管理</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管理平台支持容器创建、删除、编排功能、镜像仓库管理功能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跨平台迁移</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提供迁移工具或平台自带迁移功能实现虚拟机在线从其他虚拟化平台迁移到该平台上（需有最后一次增量同步功能），支持将物理机P2V到虚拟化平台上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系统对接</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可发送告警信息到外部监控系统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5" w:type="dxa"/>
            <w:vMerge w:val="continue"/>
            <w:shd w:val="clear" w:color="000000" w:fill="FFFFFF"/>
            <w:vAlign w:val="center"/>
          </w:tcPr>
          <w:p>
            <w:pPr>
              <w:widowControl/>
              <w:spacing w:line="300" w:lineRule="exact"/>
              <w:jc w:val="left"/>
              <w:rPr>
                <w:rFonts w:cs="仿宋_GB2312" w:asciiTheme="minorEastAsia" w:hAnsiTheme="minorEastAsia" w:eastAsiaTheme="minorEastAsia"/>
                <w:kern w:val="0"/>
                <w:szCs w:val="21"/>
              </w:rPr>
            </w:pPr>
          </w:p>
        </w:tc>
        <w:tc>
          <w:tcPr>
            <w:tcW w:w="1497"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二次开发</w:t>
            </w:r>
          </w:p>
        </w:tc>
        <w:tc>
          <w:tcPr>
            <w:tcW w:w="6752" w:type="dxa"/>
            <w:shd w:val="clear" w:color="000000" w:fill="FFFFFF"/>
            <w:vAlign w:val="center"/>
          </w:tcPr>
          <w:p>
            <w:pPr>
              <w:widowControl/>
              <w:spacing w:line="300" w:lineRule="exact"/>
              <w:jc w:val="left"/>
              <w:rPr>
                <w:rFonts w:cs="仿宋_GB2312" w:asciiTheme="minorEastAsia" w:hAnsiTheme="minorEastAsia" w:eastAsiaTheme="minorEastAsia"/>
                <w:kern w:val="0"/>
                <w:szCs w:val="21"/>
              </w:rPr>
            </w:pPr>
            <w:r>
              <w:rPr>
                <w:rFonts w:hint="eastAsia" w:cs="仿宋_GB2312" w:asciiTheme="minorEastAsia" w:hAnsiTheme="minorEastAsia" w:eastAsiaTheme="minorEastAsia"/>
                <w:kern w:val="0"/>
                <w:szCs w:val="21"/>
              </w:rPr>
              <w:t>提供完整api接口文档供外部系统调用去实现虚拟机创建、删除、迁移等平台常见功能。</w:t>
            </w:r>
          </w:p>
        </w:tc>
      </w:tr>
    </w:tbl>
    <w:p>
      <w:pPr>
        <w:pStyle w:val="6"/>
        <w:spacing w:after="0" w:line="300" w:lineRule="exact"/>
        <w:rPr>
          <w:rFonts w:cs="宋体" w:asciiTheme="minorEastAsia" w:hAnsiTheme="minorEastAsia" w:eastAsiaTheme="minorEastAsia"/>
          <w:szCs w:val="21"/>
        </w:rPr>
      </w:pPr>
    </w:p>
    <w:p>
      <w:pPr>
        <w:spacing w:line="360" w:lineRule="auto"/>
        <w:rPr>
          <w:rFonts w:ascii="宋体" w:hAnsi="宋体" w:cs="宋体"/>
          <w:b/>
          <w:bCs/>
          <w:szCs w:val="21"/>
        </w:rPr>
      </w:pPr>
      <w:r>
        <w:rPr>
          <w:rFonts w:hint="eastAsia" w:ascii="宋体" w:hAnsi="宋体"/>
          <w:b/>
          <w:bCs/>
          <w:szCs w:val="21"/>
        </w:rPr>
        <w:t>四、</w:t>
      </w:r>
      <w:r>
        <w:rPr>
          <w:rFonts w:hint="eastAsia" w:ascii="宋体" w:hAnsi="宋体" w:cs="宋体"/>
          <w:b/>
          <w:bCs/>
          <w:szCs w:val="21"/>
        </w:rPr>
        <w:t>项目总体服务要求</w:t>
      </w:r>
    </w:p>
    <w:p>
      <w:pPr>
        <w:spacing w:line="360" w:lineRule="auto"/>
        <w:ind w:firstLine="422" w:firstLineChars="200"/>
        <w:rPr>
          <w:rFonts w:cs="楷体_GB2312" w:asciiTheme="minorEastAsia" w:hAnsiTheme="minorEastAsia" w:eastAsiaTheme="minorEastAsia"/>
          <w:b/>
          <w:bCs/>
          <w:kern w:val="28"/>
          <w:szCs w:val="21"/>
        </w:rPr>
      </w:pPr>
      <w:r>
        <w:rPr>
          <w:rFonts w:hint="eastAsia" w:cs="楷体_GB2312" w:asciiTheme="minorEastAsia" w:hAnsiTheme="minorEastAsia" w:eastAsiaTheme="minorEastAsia"/>
          <w:b/>
          <w:bCs/>
          <w:kern w:val="28"/>
          <w:szCs w:val="21"/>
        </w:rPr>
        <w:t>（一）维保服务期</w:t>
      </w:r>
    </w:p>
    <w:p>
      <w:p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本次项目带维保服务期五年（60个月），以原厂服务承诺函为准。</w:t>
      </w:r>
    </w:p>
    <w:p>
      <w:pPr>
        <w:spacing w:line="360" w:lineRule="auto"/>
        <w:ind w:firstLine="422" w:firstLineChars="200"/>
        <w:rPr>
          <w:rFonts w:cs="楷体_GB2312" w:asciiTheme="minorEastAsia" w:hAnsiTheme="minorEastAsia" w:eastAsiaTheme="minorEastAsia"/>
          <w:b/>
          <w:bCs/>
          <w:kern w:val="28"/>
          <w:szCs w:val="21"/>
        </w:rPr>
      </w:pPr>
      <w:r>
        <w:rPr>
          <w:rFonts w:hint="eastAsia" w:cs="楷体_GB2312" w:asciiTheme="minorEastAsia" w:hAnsiTheme="minorEastAsia" w:eastAsiaTheme="minorEastAsia"/>
          <w:b/>
          <w:bCs/>
          <w:kern w:val="28"/>
          <w:szCs w:val="21"/>
        </w:rPr>
        <w:t>（二）服务说明</w:t>
      </w:r>
    </w:p>
    <w:p>
      <w:p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所有服务内容必须由原厂提供，供应商配合协调相关资源。包括提供原厂技术工程师、原厂支援、原厂备件等。</w:t>
      </w:r>
    </w:p>
    <w:p>
      <w:pPr>
        <w:spacing w:line="360" w:lineRule="auto"/>
        <w:ind w:firstLine="422" w:firstLineChars="200"/>
        <w:rPr>
          <w:rFonts w:cs="楷体_GB2312" w:asciiTheme="minorEastAsia" w:hAnsiTheme="minorEastAsia" w:eastAsiaTheme="minorEastAsia"/>
          <w:b/>
          <w:bCs/>
          <w:kern w:val="28"/>
          <w:szCs w:val="21"/>
        </w:rPr>
      </w:pPr>
      <w:r>
        <w:rPr>
          <w:rFonts w:hint="eastAsia" w:cs="楷体_GB2312" w:asciiTheme="minorEastAsia" w:hAnsiTheme="minorEastAsia" w:eastAsiaTheme="minorEastAsia"/>
          <w:b/>
          <w:bCs/>
          <w:kern w:val="28"/>
          <w:szCs w:val="21"/>
        </w:rPr>
        <w:t>（三）服务内容</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安装与实施服务。软件到货后进行安装、规划、调试、测试、优化、升级等工作，满足采购人对设备上线运行的要求。</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常规维保服务。包括保障软件正常运行、保障采购人业务稳定的一切服务。</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巡检服务。提供每年4次现场巡检服务，具体巡检时间由采购人确定。巡检须派经验丰富的原厂工程师进行预防性检查维护，对配置进行检查，分析系统告警信息并提出整改方案，按采购人要求出具巡检报告、整改方案等文档并负责整改实施。</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升级服务。针对产品缺陷或根据采购人要求为软件免费升级和补丁更新，保证用户能够及时获得相关服务和技术文档的更新。技术文档包括操作手册、产品说明、系统架构、应急处理、规章制度等。如产品出现重大缺陷时，须主动告知采购人升级或应对措施。</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咨询服务。采购人可随时向供应商或原厂进行技术咨询。</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应急服务。提供每周7×24小时专人应急服务电话。</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现场服务。按需提供技术人员现场支援的服务。工程师要保持相对的稳定性。在采购人场所工作时，技术人员应遵守采购人相应的规章制度。</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系统迁移服务。服务期内，如采购人有系统迁移需求，供应商有义务根据采购人要求提供优选迁移建议服务，如有必要供应商到达采购人项目现场提供协助。</w:t>
      </w:r>
    </w:p>
    <w:p>
      <w:pPr>
        <w:numPr>
          <w:ilvl w:val="0"/>
          <w:numId w:val="1"/>
        </w:numPr>
        <w:spacing w:line="360" w:lineRule="auto"/>
        <w:ind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重点时期现场保障服务。重要节假日（五一、国庆、中秋、春节等）和重要时期（网络攻防演练、上级现场监管检查等）提供专业技术人员现场保障和协助的服务，协助采购人防守、加固、溯源和分析等工作。</w:t>
      </w:r>
    </w:p>
    <w:p>
      <w:pPr>
        <w:spacing w:line="360" w:lineRule="auto"/>
        <w:rPr>
          <w:rFonts w:ascii="宋体" w:hAnsi="宋体"/>
          <w:b/>
          <w:bCs/>
          <w:szCs w:val="21"/>
        </w:rPr>
      </w:pPr>
      <w:r>
        <w:rPr>
          <w:rFonts w:hint="eastAsia" w:ascii="宋体" w:hAnsi="宋体"/>
          <w:b/>
          <w:bCs/>
          <w:szCs w:val="21"/>
        </w:rPr>
        <w:t>五、供应商（软件制造商）要求</w:t>
      </w:r>
    </w:p>
    <w:p>
      <w:pPr>
        <w:tabs>
          <w:tab w:val="left" w:pos="0"/>
        </w:tabs>
        <w:spacing w:line="360" w:lineRule="auto"/>
        <w:ind w:firstLine="420" w:firstLineChars="200"/>
        <w:rPr>
          <w:rFonts w:cs="仿宋_GB2312" w:asciiTheme="minorEastAsia" w:hAnsiTheme="minorEastAsia"/>
          <w:szCs w:val="21"/>
        </w:rPr>
      </w:pPr>
      <w:r>
        <w:rPr>
          <w:rFonts w:hint="eastAsia" w:cs="仿宋_GB2312" w:asciiTheme="minorEastAsia" w:hAnsiTheme="minorEastAsia" w:eastAsiaTheme="minorEastAsia"/>
          <w:szCs w:val="21"/>
        </w:rPr>
        <w:t>本项目公开征集合作环节将接受满足项目需求的产品厂家提供市场调研资料，并配合进行交流、测试等工作。</w:t>
      </w:r>
    </w:p>
    <w:p>
      <w:pPr>
        <w:tabs>
          <w:tab w:val="left" w:pos="0"/>
        </w:tabs>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（一）供应商具备独立法人资格。</w:t>
      </w:r>
    </w:p>
    <w:p>
      <w:pPr>
        <w:tabs>
          <w:tab w:val="left" w:pos="0"/>
        </w:tabs>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（二）供应商提供的产品近三年内具有银行业机构相关案例，案例数量不低于3个（以合同复印件为准），在反馈《市场调研记录表》时应提供相关合同复印件。</w:t>
      </w:r>
    </w:p>
    <w:p>
      <w:pPr>
        <w:tabs>
          <w:tab w:val="left" w:pos="0"/>
        </w:tabs>
        <w:spacing w:line="360" w:lineRule="auto"/>
        <w:rPr>
          <w:rFonts w:cs="仿宋_GB2312" w:asciiTheme="minorEastAsia" w:hAnsiTheme="minorEastAsia" w:eastAsiaTheme="minorEastAsia"/>
          <w:color w:val="000000"/>
          <w:szCs w:val="21"/>
        </w:rPr>
      </w:pPr>
    </w:p>
    <w:p>
      <w:pPr>
        <w:spacing w:line="360" w:lineRule="auto"/>
        <w:rPr>
          <w:rFonts w:ascii="宋体" w:hAnsi="宋体"/>
          <w:szCs w:val="21"/>
        </w:rPr>
      </w:pPr>
    </w:p>
    <w:sectPr>
      <w:footerReference r:id="rId3" w:type="default"/>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801739"/>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EBA44"/>
    <w:multiLevelType w:val="singleLevel"/>
    <w:tmpl w:val="F3DEBA44"/>
    <w:lvl w:ilvl="0" w:tentative="0">
      <w:start w:val="1"/>
      <w:numFmt w:val="decimal"/>
      <w:lvlText w:val="%1."/>
      <w:lvlJc w:val="left"/>
      <w:pPr>
        <w:tabs>
          <w:tab w:val="left" w:pos="0"/>
        </w:tabs>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iZjYxM2FmMjVmOTMxYTlmZDdkZThjNTllNGUwOWIifQ=="/>
  </w:docVars>
  <w:rsids>
    <w:rsidRoot w:val="009F2FB4"/>
    <w:rsid w:val="00041D24"/>
    <w:rsid w:val="000711CE"/>
    <w:rsid w:val="000D3882"/>
    <w:rsid w:val="000E6541"/>
    <w:rsid w:val="000F4946"/>
    <w:rsid w:val="00115306"/>
    <w:rsid w:val="00115BC4"/>
    <w:rsid w:val="001C2DAC"/>
    <w:rsid w:val="001D4644"/>
    <w:rsid w:val="001E7CB5"/>
    <w:rsid w:val="0026628E"/>
    <w:rsid w:val="002B7344"/>
    <w:rsid w:val="002C13F5"/>
    <w:rsid w:val="002E69AE"/>
    <w:rsid w:val="003000DE"/>
    <w:rsid w:val="0030538B"/>
    <w:rsid w:val="003161EC"/>
    <w:rsid w:val="003425BD"/>
    <w:rsid w:val="00372F3B"/>
    <w:rsid w:val="003900F9"/>
    <w:rsid w:val="004B3E2C"/>
    <w:rsid w:val="0052378B"/>
    <w:rsid w:val="0058010C"/>
    <w:rsid w:val="005E0F22"/>
    <w:rsid w:val="006365FC"/>
    <w:rsid w:val="00657D6E"/>
    <w:rsid w:val="0067085A"/>
    <w:rsid w:val="0067708D"/>
    <w:rsid w:val="00683ADB"/>
    <w:rsid w:val="00684671"/>
    <w:rsid w:val="00697DF5"/>
    <w:rsid w:val="006B282D"/>
    <w:rsid w:val="006D629F"/>
    <w:rsid w:val="006E028B"/>
    <w:rsid w:val="00755FE0"/>
    <w:rsid w:val="007C1E65"/>
    <w:rsid w:val="007C4B35"/>
    <w:rsid w:val="007D1572"/>
    <w:rsid w:val="00812356"/>
    <w:rsid w:val="00833E0B"/>
    <w:rsid w:val="00834783"/>
    <w:rsid w:val="00876154"/>
    <w:rsid w:val="008E739F"/>
    <w:rsid w:val="008F5664"/>
    <w:rsid w:val="00906BCA"/>
    <w:rsid w:val="00932867"/>
    <w:rsid w:val="00932D28"/>
    <w:rsid w:val="00955B58"/>
    <w:rsid w:val="00967333"/>
    <w:rsid w:val="009C139A"/>
    <w:rsid w:val="009C6873"/>
    <w:rsid w:val="009F2FB4"/>
    <w:rsid w:val="009F5DB2"/>
    <w:rsid w:val="00AE25AA"/>
    <w:rsid w:val="00AF0288"/>
    <w:rsid w:val="00AF5E80"/>
    <w:rsid w:val="00AF7968"/>
    <w:rsid w:val="00B47B30"/>
    <w:rsid w:val="00B71931"/>
    <w:rsid w:val="00BB0D09"/>
    <w:rsid w:val="00BB432E"/>
    <w:rsid w:val="00BD79AF"/>
    <w:rsid w:val="00C046DA"/>
    <w:rsid w:val="00C15B9E"/>
    <w:rsid w:val="00C479E2"/>
    <w:rsid w:val="00C707AE"/>
    <w:rsid w:val="00C772C4"/>
    <w:rsid w:val="00CD62A6"/>
    <w:rsid w:val="00CE7C21"/>
    <w:rsid w:val="00D42B77"/>
    <w:rsid w:val="00D809E5"/>
    <w:rsid w:val="00DA0CD7"/>
    <w:rsid w:val="00DD11BD"/>
    <w:rsid w:val="00E66145"/>
    <w:rsid w:val="00E751AB"/>
    <w:rsid w:val="00FC204D"/>
    <w:rsid w:val="00FC3DC7"/>
    <w:rsid w:val="00FE62F0"/>
    <w:rsid w:val="00FE706B"/>
    <w:rsid w:val="037679C8"/>
    <w:rsid w:val="09BB78D2"/>
    <w:rsid w:val="0C6C3520"/>
    <w:rsid w:val="14764A08"/>
    <w:rsid w:val="170B3BD9"/>
    <w:rsid w:val="2E6076A8"/>
    <w:rsid w:val="40CC7971"/>
    <w:rsid w:val="41A31322"/>
    <w:rsid w:val="452B449A"/>
    <w:rsid w:val="46F71794"/>
    <w:rsid w:val="496574B5"/>
    <w:rsid w:val="52097D65"/>
    <w:rsid w:val="5B126A2F"/>
    <w:rsid w:val="60C5263E"/>
    <w:rsid w:val="64C96D0C"/>
    <w:rsid w:val="64FF6CA9"/>
    <w:rsid w:val="6B764C86"/>
    <w:rsid w:val="6EC766B7"/>
    <w:rsid w:val="793754B3"/>
    <w:rsid w:val="7AAE4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djustRightInd w:val="0"/>
      <w:spacing w:before="260" w:after="260" w:line="416" w:lineRule="atLeast"/>
      <w:ind w:left="180"/>
      <w:textAlignment w:val="baseline"/>
      <w:outlineLvl w:val="1"/>
    </w:pPr>
    <w:rPr>
      <w:rFonts w:ascii="Arial" w:hAnsi="Arial" w:eastAsia="黑体"/>
      <w:b/>
      <w:sz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Normal Indent"/>
    <w:basedOn w:val="1"/>
    <w:link w:val="27"/>
    <w:unhideWhenUsed/>
    <w:qFormat/>
    <w:uiPriority w:val="0"/>
    <w:pPr>
      <w:ind w:firstLine="420" w:firstLineChars="200"/>
    </w:pPr>
    <w:rPr>
      <w:rFonts w:ascii="Calibri" w:hAnsi="Calibri"/>
    </w:rPr>
  </w:style>
  <w:style w:type="paragraph" w:styleId="4">
    <w:name w:val="toa heading"/>
    <w:basedOn w:val="1"/>
    <w:next w:val="1"/>
    <w:unhideWhenUsed/>
    <w:qFormat/>
    <w:uiPriority w:val="99"/>
    <w:pPr>
      <w:spacing w:before="120"/>
    </w:pPr>
    <w:rPr>
      <w:rFonts w:asciiTheme="majorHAnsi" w:hAnsiTheme="majorHAnsi" w:cstheme="majorBidi"/>
      <w:sz w:val="24"/>
    </w:rPr>
  </w:style>
  <w:style w:type="paragraph" w:styleId="5">
    <w:name w:val="annotation text"/>
    <w:basedOn w:val="1"/>
    <w:link w:val="24"/>
    <w:unhideWhenUsed/>
    <w:qFormat/>
    <w:uiPriority w:val="99"/>
    <w:pPr>
      <w:jc w:val="left"/>
    </w:pPr>
  </w:style>
  <w:style w:type="paragraph" w:styleId="6">
    <w:name w:val="Body Text"/>
    <w:basedOn w:val="1"/>
    <w:link w:val="23"/>
    <w:qFormat/>
    <w:uiPriority w:val="0"/>
    <w:pPr>
      <w:spacing w:after="120"/>
    </w:pPr>
  </w:style>
  <w:style w:type="paragraph" w:styleId="7">
    <w:name w:val="Balloon Text"/>
    <w:basedOn w:val="1"/>
    <w:link w:val="26"/>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5"/>
    <w:next w:val="5"/>
    <w:link w:val="25"/>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styleId="16">
    <w:name w:val="annotation reference"/>
    <w:unhideWhenUsed/>
    <w:qFormat/>
    <w:uiPriority w:val="99"/>
    <w:rPr>
      <w:rFonts w:cs="Times New Roman"/>
      <w:sz w:val="21"/>
      <w:szCs w:val="21"/>
    </w:rPr>
  </w:style>
  <w:style w:type="paragraph" w:customStyle="1" w:styleId="17">
    <w:name w:val="Table Paragraph"/>
    <w:basedOn w:val="1"/>
    <w:qFormat/>
    <w:uiPriority w:val="1"/>
    <w:pPr>
      <w:autoSpaceDE w:val="0"/>
      <w:autoSpaceDN w:val="0"/>
      <w:adjustRightInd w:val="0"/>
      <w:jc w:val="left"/>
    </w:pPr>
    <w:rPr>
      <w:rFonts w:ascii="宋体" w:cs="宋体"/>
      <w:kern w:val="0"/>
      <w:sz w:val="24"/>
    </w:rPr>
  </w:style>
  <w:style w:type="paragraph" w:customStyle="1" w:styleId="18">
    <w:name w:val="样式4"/>
    <w:basedOn w:val="1"/>
    <w:qFormat/>
    <w:uiPriority w:val="0"/>
    <w:pPr>
      <w:tabs>
        <w:tab w:val="left" w:pos="2328"/>
      </w:tabs>
      <w:ind w:left="2328" w:hanging="708"/>
    </w:pPr>
  </w:style>
  <w:style w:type="character" w:customStyle="1" w:styleId="19">
    <w:name w:val="页眉 字符"/>
    <w:link w:val="9"/>
    <w:qFormat/>
    <w:uiPriority w:val="99"/>
    <w:rPr>
      <w:rFonts w:ascii="Times New Roman" w:hAnsi="Times New Roman" w:eastAsia="宋体" w:cs="Times New Roman"/>
      <w:sz w:val="18"/>
      <w:szCs w:val="18"/>
    </w:rPr>
  </w:style>
  <w:style w:type="character" w:customStyle="1" w:styleId="20">
    <w:name w:val="页脚 字符"/>
    <w:link w:val="8"/>
    <w:qFormat/>
    <w:uiPriority w:val="99"/>
    <w:rPr>
      <w:rFonts w:ascii="Times New Roman" w:hAnsi="Times New Roman" w:eastAsia="宋体" w:cs="Times New Roman"/>
      <w:sz w:val="18"/>
      <w:szCs w:val="18"/>
    </w:rPr>
  </w:style>
  <w:style w:type="character" w:customStyle="1" w:styleId="21">
    <w:name w:val="font11"/>
    <w:qFormat/>
    <w:uiPriority w:val="0"/>
    <w:rPr>
      <w:rFonts w:hint="default" w:ascii="Times New Roman" w:hAnsi="Times New Roman" w:cs="Times New Roman"/>
      <w:color w:val="000000"/>
      <w:sz w:val="24"/>
      <w:szCs w:val="24"/>
      <w:u w:val="none"/>
    </w:rPr>
  </w:style>
  <w:style w:type="character" w:customStyle="1" w:styleId="22">
    <w:name w:val="font21"/>
    <w:qFormat/>
    <w:uiPriority w:val="0"/>
    <w:rPr>
      <w:rFonts w:ascii="Arial" w:hAnsi="Arial" w:cs="Arial"/>
      <w:color w:val="000000"/>
      <w:sz w:val="21"/>
      <w:szCs w:val="21"/>
      <w:u w:val="none"/>
    </w:rPr>
  </w:style>
  <w:style w:type="character" w:customStyle="1" w:styleId="23">
    <w:name w:val="正文文本 字符"/>
    <w:basedOn w:val="14"/>
    <w:link w:val="6"/>
    <w:qFormat/>
    <w:uiPriority w:val="0"/>
    <w:rPr>
      <w:rFonts w:ascii="Times New Roman" w:hAnsi="Times New Roman" w:eastAsia="宋体"/>
      <w:kern w:val="2"/>
      <w:sz w:val="21"/>
      <w:szCs w:val="24"/>
    </w:rPr>
  </w:style>
  <w:style w:type="character" w:customStyle="1" w:styleId="24">
    <w:name w:val="批注文字 字符"/>
    <w:basedOn w:val="14"/>
    <w:link w:val="5"/>
    <w:qFormat/>
    <w:uiPriority w:val="99"/>
    <w:rPr>
      <w:rFonts w:ascii="Times New Roman" w:hAnsi="Times New Roman" w:eastAsia="宋体"/>
      <w:kern w:val="2"/>
      <w:sz w:val="21"/>
      <w:szCs w:val="24"/>
    </w:rPr>
  </w:style>
  <w:style w:type="character" w:customStyle="1" w:styleId="25">
    <w:name w:val="批注主题 字符"/>
    <w:basedOn w:val="24"/>
    <w:link w:val="11"/>
    <w:semiHidden/>
    <w:qFormat/>
    <w:uiPriority w:val="99"/>
    <w:rPr>
      <w:rFonts w:ascii="Times New Roman" w:hAnsi="Times New Roman" w:eastAsia="宋体"/>
      <w:b/>
      <w:bCs/>
      <w:kern w:val="2"/>
      <w:sz w:val="21"/>
      <w:szCs w:val="24"/>
    </w:rPr>
  </w:style>
  <w:style w:type="character" w:customStyle="1" w:styleId="26">
    <w:name w:val="批注框文本 字符"/>
    <w:basedOn w:val="14"/>
    <w:link w:val="7"/>
    <w:semiHidden/>
    <w:qFormat/>
    <w:uiPriority w:val="99"/>
    <w:rPr>
      <w:rFonts w:ascii="Times New Roman" w:hAnsi="Times New Roman" w:eastAsia="宋体"/>
      <w:kern w:val="2"/>
      <w:sz w:val="18"/>
      <w:szCs w:val="18"/>
    </w:rPr>
  </w:style>
  <w:style w:type="character" w:customStyle="1" w:styleId="27">
    <w:name w:val="正文缩进 字符"/>
    <w:link w:val="2"/>
    <w:qFormat/>
    <w:uiPriority w:val="0"/>
    <w:rPr>
      <w:rFonts w:ascii="Calibri" w:hAnsi="Calibri" w:eastAsia="宋体"/>
      <w:kern w:val="2"/>
      <w:sz w:val="21"/>
      <w:szCs w:val="24"/>
    </w:rPr>
  </w:style>
  <w:style w:type="paragraph" w:customStyle="1" w:styleId="28">
    <w:name w:val="正文cl"/>
    <w:basedOn w:val="1"/>
    <w:qFormat/>
    <w:uiPriority w:val="0"/>
    <w:pPr>
      <w:snapToGrid w:val="0"/>
      <w:spacing w:line="360" w:lineRule="auto"/>
      <w:ind w:firstLine="600" w:firstLineChars="200"/>
    </w:pPr>
    <w:rPr>
      <w:rFonts w:ascii="Tahoma" w:hAnsi="Tahoma" w:eastAsia="仿宋_GB2312" w:cs="宋体"/>
      <w:sz w:val="3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1885</Words>
  <Characters>1953</Characters>
  <Lines>14</Lines>
  <Paragraphs>4</Paragraphs>
  <TotalTime>0</TotalTime>
  <ScaleCrop>false</ScaleCrop>
  <LinksUpToDate>false</LinksUpToDate>
  <CharactersWithSpaces>1955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2023-04-27T09:53:00Z</dcterms:created>
  <dc:creator>User</dc:creator>
  <cp:lastModifiedBy>12137</cp:lastModifiedBy>
  <dcterms:modified xsi:type="dcterms:W3CDTF">2023-05-30T07:12:46Z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205B0A8DE40449AABFD77DC5085B80D2</vt:lpwstr>
  </property>
</Properties>
</file>